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C4E8" w14:textId="77777777" w:rsidR="007261C6" w:rsidRPr="003A6A95" w:rsidRDefault="007261C6" w:rsidP="00EA0927">
      <w:pPr>
        <w:spacing w:line="600" w:lineRule="auto"/>
        <w:jc w:val="right"/>
        <w:rPr>
          <w:rFonts w:cs="Arial"/>
        </w:rPr>
      </w:pPr>
    </w:p>
    <w:p w14:paraId="0ADF6ED2" w14:textId="77777777" w:rsidR="00CB7DBA" w:rsidRDefault="00CB7DBA" w:rsidP="00394893">
      <w:pPr>
        <w:pStyle w:val="Title"/>
      </w:pPr>
    </w:p>
    <w:p w14:paraId="3CAE979B" w14:textId="38AB1733" w:rsidR="007261C6" w:rsidRPr="00C10F88" w:rsidRDefault="00394893" w:rsidP="00394893">
      <w:pPr>
        <w:pStyle w:val="Title"/>
      </w:pPr>
      <w:r>
        <w:t>How to enter</w:t>
      </w:r>
    </w:p>
    <w:p w14:paraId="10FAD7EC" w14:textId="77777777" w:rsidR="007261C6" w:rsidRDefault="007261C6" w:rsidP="007261C6">
      <w:pPr>
        <w:spacing w:line="276" w:lineRule="auto"/>
        <w:rPr>
          <w:b/>
          <w:szCs w:val="22"/>
        </w:rPr>
      </w:pPr>
    </w:p>
    <w:p w14:paraId="7ED99DEF" w14:textId="375C5C29" w:rsidR="00394893" w:rsidRDefault="00394893" w:rsidP="00394893">
      <w:r>
        <w:t>The winners of the Glass Focus Awards 202</w:t>
      </w:r>
      <w:r w:rsidR="006431E9">
        <w:t>1</w:t>
      </w:r>
      <w:r>
        <w:t xml:space="preserve"> be announced </w:t>
      </w:r>
      <w:r w:rsidR="006431E9">
        <w:t xml:space="preserve">at an </w:t>
      </w:r>
      <w:proofErr w:type="gramStart"/>
      <w:r w:rsidR="006431E9">
        <w:t>in person</w:t>
      </w:r>
      <w:proofErr w:type="gramEnd"/>
      <w:r w:rsidR="006431E9">
        <w:t xml:space="preserve"> awards dinner on 18 November 2021.</w:t>
      </w:r>
    </w:p>
    <w:p w14:paraId="34937183" w14:textId="17768EBA" w:rsidR="00394893" w:rsidRDefault="00394893" w:rsidP="00394893"/>
    <w:p w14:paraId="0A2EFC06" w14:textId="77777777" w:rsidR="00394893" w:rsidRDefault="00394893" w:rsidP="00394893">
      <w:r>
        <w:t>This year’s categories are:</w:t>
      </w:r>
    </w:p>
    <w:p w14:paraId="531404EC" w14:textId="43C2BD0A" w:rsidR="00394893" w:rsidRDefault="00394893" w:rsidP="00394893">
      <w:pPr>
        <w:pStyle w:val="ListParagraph"/>
        <w:numPr>
          <w:ilvl w:val="0"/>
          <w:numId w:val="9"/>
        </w:numPr>
      </w:pPr>
      <w:r>
        <w:t>Design of the year – container</w:t>
      </w:r>
    </w:p>
    <w:p w14:paraId="420DA1D5" w14:textId="77777777" w:rsidR="00394893" w:rsidRDefault="00394893" w:rsidP="00394893">
      <w:pPr>
        <w:pStyle w:val="ListParagraph"/>
        <w:numPr>
          <w:ilvl w:val="0"/>
          <w:numId w:val="9"/>
        </w:numPr>
      </w:pPr>
      <w:r>
        <w:t>Design of the year – flat</w:t>
      </w:r>
    </w:p>
    <w:p w14:paraId="200648E4" w14:textId="77777777" w:rsidR="00394893" w:rsidRDefault="00394893" w:rsidP="00394893">
      <w:pPr>
        <w:pStyle w:val="ListParagraph"/>
        <w:numPr>
          <w:ilvl w:val="0"/>
          <w:numId w:val="9"/>
        </w:numPr>
      </w:pPr>
      <w:r>
        <w:t>Innovative solution</w:t>
      </w:r>
    </w:p>
    <w:p w14:paraId="2C270482" w14:textId="77777777" w:rsidR="00394893" w:rsidRDefault="00394893" w:rsidP="00394893">
      <w:pPr>
        <w:pStyle w:val="ListParagraph"/>
        <w:numPr>
          <w:ilvl w:val="0"/>
          <w:numId w:val="9"/>
        </w:numPr>
      </w:pPr>
      <w:r>
        <w:t>Health and safety action</w:t>
      </w:r>
    </w:p>
    <w:p w14:paraId="6FE4B31C" w14:textId="77777777" w:rsidR="00394893" w:rsidRDefault="00394893" w:rsidP="00394893">
      <w:pPr>
        <w:pStyle w:val="ListParagraph"/>
        <w:numPr>
          <w:ilvl w:val="0"/>
          <w:numId w:val="9"/>
        </w:numPr>
      </w:pPr>
      <w:r>
        <w:t>Sustainable practice</w:t>
      </w:r>
    </w:p>
    <w:p w14:paraId="33B828BE" w14:textId="6EBD5A43" w:rsidR="00394893" w:rsidRDefault="00394893" w:rsidP="00394893">
      <w:pPr>
        <w:pStyle w:val="ListParagraph"/>
        <w:numPr>
          <w:ilvl w:val="0"/>
          <w:numId w:val="9"/>
        </w:numPr>
      </w:pPr>
      <w:r>
        <w:t xml:space="preserve">Rising </w:t>
      </w:r>
      <w:r w:rsidR="00CB7DBA">
        <w:t>s</w:t>
      </w:r>
      <w:r>
        <w:t>tar</w:t>
      </w:r>
    </w:p>
    <w:p w14:paraId="3AFFC655" w14:textId="77777777" w:rsidR="00394893" w:rsidRDefault="00394893" w:rsidP="00394893">
      <w:pPr>
        <w:pStyle w:val="ListParagraph"/>
        <w:numPr>
          <w:ilvl w:val="0"/>
          <w:numId w:val="9"/>
        </w:numPr>
      </w:pPr>
      <w:r>
        <w:t>Strengthening business through people</w:t>
      </w:r>
    </w:p>
    <w:p w14:paraId="15BA6FA0" w14:textId="79F36972" w:rsidR="00394893" w:rsidRDefault="00394893" w:rsidP="00394893">
      <w:pPr>
        <w:pStyle w:val="ListParagraph"/>
        <w:numPr>
          <w:ilvl w:val="0"/>
          <w:numId w:val="9"/>
        </w:numPr>
      </w:pPr>
      <w:r>
        <w:t>Marketing impact</w:t>
      </w:r>
    </w:p>
    <w:p w14:paraId="0A2135C0" w14:textId="3FE44F18" w:rsidR="008633F2" w:rsidRDefault="008633F2" w:rsidP="00394893">
      <w:pPr>
        <w:pStyle w:val="ListParagraph"/>
        <w:numPr>
          <w:ilvl w:val="0"/>
          <w:numId w:val="9"/>
        </w:numPr>
      </w:pPr>
      <w:r>
        <w:t>SME of the year</w:t>
      </w:r>
    </w:p>
    <w:p w14:paraId="2C590792" w14:textId="77777777" w:rsidR="00394893" w:rsidRDefault="00394893" w:rsidP="00394893">
      <w:r>
        <w:t xml:space="preserve">The awards are open to members and non-members of British </w:t>
      </w:r>
      <w:proofErr w:type="gramStart"/>
      <w:r>
        <w:t>Glass</w:t>
      </w:r>
      <w:proofErr w:type="gramEnd"/>
      <w:r>
        <w:t xml:space="preserve"> and you can enter multiple categories, submit more than one entry in any category, and may enter the same initiative for more than one category. </w:t>
      </w:r>
    </w:p>
    <w:p w14:paraId="6E843996" w14:textId="77777777" w:rsidR="00394893" w:rsidRDefault="00394893" w:rsidP="00394893"/>
    <w:p w14:paraId="61A22F9E" w14:textId="654ECA7D" w:rsidR="00394893" w:rsidRDefault="00394893" w:rsidP="00394893">
      <w:r>
        <w:t xml:space="preserve">In addition to these categories – all British Glass members entering any </w:t>
      </w:r>
      <w:r w:rsidR="00CB7DBA">
        <w:t>award</w:t>
      </w:r>
      <w:r>
        <w:t xml:space="preserve"> will be put forward for the title of British Glass </w:t>
      </w:r>
      <w:r w:rsidRPr="00394893">
        <w:rPr>
          <w:i/>
          <w:iCs/>
        </w:rPr>
        <w:t>Company of the year</w:t>
      </w:r>
      <w:r>
        <w:t>.</w:t>
      </w:r>
    </w:p>
    <w:p w14:paraId="2609B19E" w14:textId="77777777" w:rsidR="00394893" w:rsidRDefault="00394893" w:rsidP="00394893"/>
    <w:p w14:paraId="415BFB6F" w14:textId="387F162B" w:rsidR="00394893" w:rsidRDefault="00394893" w:rsidP="00394893">
      <w:r>
        <w:t>Entries will be judged by a panel of industry experts against the criteria for that category – so make sure you read them carefully (see below). Entries should focus on work and initiatives taking place since last year’s awards closed – so between September 20</w:t>
      </w:r>
      <w:r w:rsidR="008633F2">
        <w:t>20</w:t>
      </w:r>
      <w:r>
        <w:t xml:space="preserve"> and September 202</w:t>
      </w:r>
      <w:r w:rsidR="008633F2">
        <w:t>1</w:t>
      </w:r>
      <w:r>
        <w:t xml:space="preserve">. </w:t>
      </w:r>
    </w:p>
    <w:p w14:paraId="00C99D75" w14:textId="77777777" w:rsidR="00394893" w:rsidRDefault="00394893" w:rsidP="00394893"/>
    <w:p w14:paraId="51AA3398" w14:textId="6B2EE666" w:rsidR="00394893" w:rsidRDefault="00394893" w:rsidP="00394893">
      <w:r>
        <w:t>You must submit your entry via the Glass Focus 202</w:t>
      </w:r>
      <w:r w:rsidR="00F91A8F">
        <w:t>1</w:t>
      </w:r>
      <w:r>
        <w:t xml:space="preserve"> entry </w:t>
      </w:r>
      <w:proofErr w:type="gramStart"/>
      <w:r>
        <w:t>form</w:t>
      </w:r>
      <w:proofErr w:type="gramEnd"/>
      <w:r>
        <w:t xml:space="preserve"> and it should include:</w:t>
      </w:r>
    </w:p>
    <w:p w14:paraId="098A40DD" w14:textId="77777777" w:rsidR="00394893" w:rsidRDefault="00394893" w:rsidP="00394893"/>
    <w:p w14:paraId="17E719C8" w14:textId="77777777" w:rsidR="00394893" w:rsidRDefault="00394893" w:rsidP="00394893">
      <w:pPr>
        <w:pStyle w:val="ListParagraph"/>
        <w:numPr>
          <w:ilvl w:val="0"/>
          <w:numId w:val="8"/>
        </w:numPr>
      </w:pPr>
      <w:r>
        <w:t xml:space="preserve">a statement of not more than 800 words – clearly stating which category you are entering under and how your initiative meets the criteria for that </w:t>
      </w:r>
      <w:proofErr w:type="gramStart"/>
      <w:r>
        <w:t>category</w:t>
      </w:r>
      <w:proofErr w:type="gramEnd"/>
    </w:p>
    <w:p w14:paraId="5949B847" w14:textId="456DAA51" w:rsidR="00394893" w:rsidRDefault="00394893" w:rsidP="00394893">
      <w:pPr>
        <w:pStyle w:val="ListParagraph"/>
        <w:numPr>
          <w:ilvl w:val="0"/>
          <w:numId w:val="8"/>
        </w:numPr>
      </w:pPr>
      <w:r>
        <w:t xml:space="preserve">a summary of your entry of not more than 100 words. </w:t>
      </w:r>
    </w:p>
    <w:p w14:paraId="7C2F721A" w14:textId="77777777" w:rsidR="00394893" w:rsidRDefault="00394893" w:rsidP="00394893">
      <w:r>
        <w:t>You may also submit physical examples, pictures, video, web links and supporting documents with your entry. But remember the judges’ time will be limited and must be shared fairly across entrants – so the more succinctly you can tell your story, the better for you.</w:t>
      </w:r>
    </w:p>
    <w:p w14:paraId="43394861" w14:textId="77777777" w:rsidR="00394893" w:rsidRDefault="00394893" w:rsidP="00394893"/>
    <w:p w14:paraId="079A91AD" w14:textId="4FAFDDC7" w:rsidR="00394893" w:rsidRDefault="00394893" w:rsidP="00394893">
      <w:r w:rsidRPr="00394893">
        <w:rPr>
          <w:b/>
          <w:bCs/>
        </w:rPr>
        <w:t>The deadline for this year’s entries is noon on Wednesday 2</w:t>
      </w:r>
      <w:r w:rsidR="00B8247E">
        <w:rPr>
          <w:b/>
          <w:bCs/>
        </w:rPr>
        <w:t>2</w:t>
      </w:r>
      <w:r w:rsidRPr="00394893">
        <w:rPr>
          <w:b/>
          <w:bCs/>
        </w:rPr>
        <w:t xml:space="preserve"> September 202</w:t>
      </w:r>
      <w:r w:rsidR="00B8247E">
        <w:rPr>
          <w:b/>
          <w:bCs/>
        </w:rPr>
        <w:t>1</w:t>
      </w:r>
      <w:r w:rsidRPr="00394893">
        <w:rPr>
          <w:b/>
          <w:bCs/>
        </w:rPr>
        <w:t>.</w:t>
      </w:r>
      <w:r>
        <w:t xml:space="preserve"> Please submit your entry form by email to glassfocus@britglass.co.uk and start the subject line with 202</w:t>
      </w:r>
      <w:r w:rsidR="00B8247E">
        <w:t>1</w:t>
      </w:r>
      <w:r>
        <w:t xml:space="preserve"> Awards entry. </w:t>
      </w:r>
    </w:p>
    <w:p w14:paraId="4FD3448E" w14:textId="77777777" w:rsidR="00394893" w:rsidRDefault="00394893" w:rsidP="00394893"/>
    <w:p w14:paraId="76F9E9F4" w14:textId="77777777" w:rsidR="00394893" w:rsidRDefault="00394893" w:rsidP="00394893">
      <w:r>
        <w:t>Please send any physical examples FOA Meg Grattidge, British Glass, 9 Churchill Way, Sheffield, S35 2PY.</w:t>
      </w:r>
    </w:p>
    <w:p w14:paraId="3D6040A0" w14:textId="77777777" w:rsidR="00394893" w:rsidRDefault="00394893" w:rsidP="00394893"/>
    <w:p w14:paraId="3A4E2AC5" w14:textId="309C164A" w:rsidR="00394893" w:rsidRDefault="00394893" w:rsidP="00394893">
      <w:r>
        <w:t>Please also read the full judging criteria and terms and conditions below.</w:t>
      </w:r>
    </w:p>
    <w:p w14:paraId="09CAF243" w14:textId="77777777" w:rsidR="00394893" w:rsidRPr="00394893" w:rsidRDefault="00394893" w:rsidP="00394893"/>
    <w:p w14:paraId="6E71A930" w14:textId="2838EA83" w:rsidR="00394893" w:rsidRDefault="00394893" w:rsidP="00394893">
      <w:pPr>
        <w:pStyle w:val="Title"/>
      </w:pPr>
      <w:r w:rsidRPr="00394893">
        <w:lastRenderedPageBreak/>
        <w:t>Judging criteria</w:t>
      </w:r>
    </w:p>
    <w:p w14:paraId="2A896B00" w14:textId="77777777" w:rsidR="00394893" w:rsidRPr="00394893" w:rsidRDefault="00394893" w:rsidP="00394893"/>
    <w:p w14:paraId="2D054D5A" w14:textId="023EE29B" w:rsidR="00394893" w:rsidRPr="00394893" w:rsidRDefault="00394893" w:rsidP="00394893">
      <w:pPr>
        <w:rPr>
          <w:b/>
          <w:bCs/>
          <w:color w:val="818C96"/>
          <w:szCs w:val="22"/>
        </w:rPr>
      </w:pPr>
      <w:r w:rsidRPr="00394893">
        <w:rPr>
          <w:b/>
          <w:bCs/>
          <w:color w:val="818C96"/>
          <w:szCs w:val="22"/>
        </w:rPr>
        <w:t>Design of the year – container</w:t>
      </w:r>
    </w:p>
    <w:p w14:paraId="00CA7D24" w14:textId="77777777" w:rsidR="00394893" w:rsidRPr="00394893" w:rsidRDefault="00394893" w:rsidP="00394893">
      <w:pPr>
        <w:rPr>
          <w:color w:val="0D0D0D" w:themeColor="text1" w:themeTint="F2"/>
          <w:szCs w:val="22"/>
        </w:rPr>
      </w:pPr>
    </w:p>
    <w:p w14:paraId="3F755348" w14:textId="3915FADF" w:rsidR="00394893" w:rsidRDefault="00394893" w:rsidP="00394893">
      <w:pPr>
        <w:rPr>
          <w:color w:val="0D0D0D" w:themeColor="text1" w:themeTint="F2"/>
          <w:szCs w:val="22"/>
        </w:rPr>
      </w:pPr>
      <w:r w:rsidRPr="00394893">
        <w:rPr>
          <w:color w:val="0D0D0D" w:themeColor="text1" w:themeTint="F2"/>
          <w:szCs w:val="22"/>
        </w:rPr>
        <w:t xml:space="preserve">In form and function – glass is an amazing material to work with. We are looking for a product or solution from the food and drink, </w:t>
      </w:r>
      <w:proofErr w:type="spellStart"/>
      <w:r w:rsidRPr="00394893">
        <w:rPr>
          <w:color w:val="0D0D0D" w:themeColor="text1" w:themeTint="F2"/>
          <w:szCs w:val="22"/>
        </w:rPr>
        <w:t>flaconnage</w:t>
      </w:r>
      <w:proofErr w:type="spellEnd"/>
      <w:r w:rsidRPr="00394893">
        <w:rPr>
          <w:color w:val="0D0D0D" w:themeColor="text1" w:themeTint="F2"/>
          <w:szCs w:val="22"/>
        </w:rPr>
        <w:t xml:space="preserve"> or pharmaceutical sector that uses the properties of glass to meet a customer’s or market’s needs. We will be looking for evidence of entrants combining skills, know-how and creativity to get the best from glass. Entries in this category should include:</w:t>
      </w:r>
    </w:p>
    <w:p w14:paraId="1B4600C0" w14:textId="77777777" w:rsidR="00394893" w:rsidRPr="00394893" w:rsidRDefault="00394893" w:rsidP="00394893">
      <w:pPr>
        <w:rPr>
          <w:color w:val="0D0D0D" w:themeColor="text1" w:themeTint="F2"/>
          <w:szCs w:val="22"/>
        </w:rPr>
      </w:pPr>
    </w:p>
    <w:p w14:paraId="1308C5FA" w14:textId="425EDAB5"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an explanation of how this design especially meets the specified </w:t>
      </w:r>
      <w:proofErr w:type="gramStart"/>
      <w:r w:rsidRPr="00394893">
        <w:rPr>
          <w:color w:val="0D0D0D" w:themeColor="text1" w:themeTint="F2"/>
        </w:rPr>
        <w:t>need</w:t>
      </w:r>
      <w:proofErr w:type="gramEnd"/>
    </w:p>
    <w:p w14:paraId="529FD2F9" w14:textId="32EB9B86"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information about the design process and choice of glass</w:t>
      </w:r>
    </w:p>
    <w:p w14:paraId="586D7B6A" w14:textId="796EAFB2"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any special treatment of the material(s) to make this design work in </w:t>
      </w:r>
      <w:proofErr w:type="gramStart"/>
      <w:r w:rsidRPr="00394893">
        <w:rPr>
          <w:color w:val="0D0D0D" w:themeColor="text1" w:themeTint="F2"/>
        </w:rPr>
        <w:t>practice</w:t>
      </w:r>
      <w:proofErr w:type="gramEnd"/>
    </w:p>
    <w:p w14:paraId="7B246CFE" w14:textId="0FA5CB81"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why the end-product is </w:t>
      </w:r>
      <w:proofErr w:type="gramStart"/>
      <w:r w:rsidRPr="00394893">
        <w:rPr>
          <w:color w:val="0D0D0D" w:themeColor="text1" w:themeTint="F2"/>
        </w:rPr>
        <w:t>noteworthy</w:t>
      </w:r>
      <w:proofErr w:type="gramEnd"/>
    </w:p>
    <w:p w14:paraId="101BA9EB" w14:textId="338663DE" w:rsidR="00394893" w:rsidRPr="00BF7C8C" w:rsidRDefault="00394893" w:rsidP="00394893">
      <w:pPr>
        <w:pStyle w:val="ListParagraph"/>
        <w:numPr>
          <w:ilvl w:val="0"/>
          <w:numId w:val="11"/>
        </w:numPr>
        <w:rPr>
          <w:color w:val="0D0D0D" w:themeColor="text1" w:themeTint="F2"/>
        </w:rPr>
      </w:pPr>
      <w:r w:rsidRPr="00BF7C8C">
        <w:rPr>
          <w:color w:val="0D0D0D" w:themeColor="text1" w:themeTint="F2"/>
        </w:rPr>
        <w:t xml:space="preserve">details of the product’s quantitative and/or qualitative benefits. </w:t>
      </w:r>
    </w:p>
    <w:p w14:paraId="3721A459" w14:textId="10524B21" w:rsidR="00394893" w:rsidRDefault="00394893" w:rsidP="00394893">
      <w:pPr>
        <w:rPr>
          <w:color w:val="0D0D0D" w:themeColor="text1" w:themeTint="F2"/>
          <w:szCs w:val="22"/>
        </w:rPr>
      </w:pPr>
      <w:r w:rsidRPr="00394893">
        <w:rPr>
          <w:color w:val="0D0D0D" w:themeColor="text1" w:themeTint="F2"/>
          <w:szCs w:val="22"/>
        </w:rPr>
        <w:t>(As well as products that have been fully realised, products only developed to concept stage may also be entered into this category. Such entries should provide evidence that the design can be successfully produced.)</w:t>
      </w:r>
    </w:p>
    <w:p w14:paraId="4018F1A7" w14:textId="77777777" w:rsidR="00394893" w:rsidRPr="00394893" w:rsidRDefault="00394893" w:rsidP="00394893">
      <w:pPr>
        <w:rPr>
          <w:color w:val="0D0D0D" w:themeColor="text1" w:themeTint="F2"/>
          <w:szCs w:val="22"/>
        </w:rPr>
      </w:pPr>
    </w:p>
    <w:p w14:paraId="20AAC0CD" w14:textId="0A94F5F9" w:rsidR="00394893" w:rsidRDefault="00394893" w:rsidP="00394893">
      <w:pPr>
        <w:rPr>
          <w:b/>
          <w:bCs/>
          <w:color w:val="818C96"/>
          <w:szCs w:val="22"/>
        </w:rPr>
      </w:pPr>
      <w:r w:rsidRPr="00394893">
        <w:rPr>
          <w:b/>
          <w:bCs/>
          <w:color w:val="818C96"/>
          <w:szCs w:val="22"/>
        </w:rPr>
        <w:t xml:space="preserve">Design of the year </w:t>
      </w:r>
      <w:r>
        <w:rPr>
          <w:b/>
          <w:bCs/>
          <w:color w:val="818C96"/>
          <w:szCs w:val="22"/>
        </w:rPr>
        <w:t>–</w:t>
      </w:r>
      <w:r w:rsidRPr="00394893">
        <w:rPr>
          <w:b/>
          <w:bCs/>
          <w:color w:val="818C96"/>
          <w:szCs w:val="22"/>
        </w:rPr>
        <w:t xml:space="preserve"> flat</w:t>
      </w:r>
    </w:p>
    <w:p w14:paraId="2CA67ED2" w14:textId="77777777" w:rsidR="00394893" w:rsidRPr="00394893" w:rsidRDefault="00394893" w:rsidP="00394893">
      <w:pPr>
        <w:rPr>
          <w:b/>
          <w:bCs/>
          <w:color w:val="818C96"/>
          <w:szCs w:val="22"/>
        </w:rPr>
      </w:pPr>
    </w:p>
    <w:p w14:paraId="51B3437A" w14:textId="1913963C" w:rsidR="00394893" w:rsidRDefault="00394893" w:rsidP="00394893">
      <w:pPr>
        <w:rPr>
          <w:color w:val="0D0D0D" w:themeColor="text1" w:themeTint="F2"/>
          <w:szCs w:val="22"/>
        </w:rPr>
      </w:pPr>
      <w:r w:rsidRPr="00394893">
        <w:rPr>
          <w:color w:val="0D0D0D" w:themeColor="text1" w:themeTint="F2"/>
          <w:szCs w:val="22"/>
        </w:rPr>
        <w:t>Glass is one of the most remarkable building materials in the world.  We are looking for a product, architectural design or solution that uses the properties of glass to meet a customer’s or market’s needs. We will be looking for evidence of entrants combining skills, know-how and creativity to get the best from glass. Entries in this category should include:</w:t>
      </w:r>
    </w:p>
    <w:p w14:paraId="1F774800" w14:textId="77777777" w:rsidR="00394893" w:rsidRPr="00394893" w:rsidRDefault="00394893" w:rsidP="00394893">
      <w:pPr>
        <w:rPr>
          <w:color w:val="0D0D0D" w:themeColor="text1" w:themeTint="F2"/>
          <w:szCs w:val="22"/>
        </w:rPr>
      </w:pPr>
    </w:p>
    <w:p w14:paraId="65307257" w14:textId="7F251A35" w:rsidR="00394893" w:rsidRPr="004030C8" w:rsidRDefault="00394893" w:rsidP="004030C8">
      <w:pPr>
        <w:pStyle w:val="ListParagraph"/>
        <w:numPr>
          <w:ilvl w:val="0"/>
          <w:numId w:val="22"/>
        </w:numPr>
        <w:rPr>
          <w:color w:val="0D0D0D" w:themeColor="text1" w:themeTint="F2"/>
        </w:rPr>
      </w:pPr>
      <w:r w:rsidRPr="004030C8">
        <w:rPr>
          <w:color w:val="0D0D0D" w:themeColor="text1" w:themeTint="F2"/>
        </w:rPr>
        <w:t xml:space="preserve">an explanation of how this design especially meets the specified </w:t>
      </w:r>
      <w:proofErr w:type="gramStart"/>
      <w:r w:rsidRPr="004030C8">
        <w:rPr>
          <w:color w:val="0D0D0D" w:themeColor="text1" w:themeTint="F2"/>
        </w:rPr>
        <w:t>need</w:t>
      </w:r>
      <w:proofErr w:type="gramEnd"/>
    </w:p>
    <w:p w14:paraId="0E9F5757" w14:textId="2577E081" w:rsidR="00394893" w:rsidRPr="004030C8" w:rsidRDefault="00394893" w:rsidP="004030C8">
      <w:pPr>
        <w:pStyle w:val="ListParagraph"/>
        <w:numPr>
          <w:ilvl w:val="0"/>
          <w:numId w:val="22"/>
        </w:numPr>
        <w:rPr>
          <w:color w:val="0D0D0D" w:themeColor="text1" w:themeTint="F2"/>
        </w:rPr>
      </w:pPr>
      <w:r w:rsidRPr="004030C8">
        <w:rPr>
          <w:color w:val="0D0D0D" w:themeColor="text1" w:themeTint="F2"/>
        </w:rPr>
        <w:t>information about the design process and choice of glass</w:t>
      </w:r>
    </w:p>
    <w:p w14:paraId="11E64F05" w14:textId="053FC184" w:rsidR="00394893" w:rsidRPr="004030C8" w:rsidRDefault="00394893" w:rsidP="004030C8">
      <w:pPr>
        <w:pStyle w:val="ListParagraph"/>
        <w:numPr>
          <w:ilvl w:val="0"/>
          <w:numId w:val="22"/>
        </w:numPr>
        <w:rPr>
          <w:color w:val="0D0D0D" w:themeColor="text1" w:themeTint="F2"/>
        </w:rPr>
      </w:pPr>
      <w:r w:rsidRPr="004030C8">
        <w:rPr>
          <w:color w:val="0D0D0D" w:themeColor="text1" w:themeTint="F2"/>
        </w:rPr>
        <w:t xml:space="preserve">any special treatment of the material(s) to make this design work in </w:t>
      </w:r>
      <w:proofErr w:type="gramStart"/>
      <w:r w:rsidRPr="004030C8">
        <w:rPr>
          <w:color w:val="0D0D0D" w:themeColor="text1" w:themeTint="F2"/>
        </w:rPr>
        <w:t>practice</w:t>
      </w:r>
      <w:proofErr w:type="gramEnd"/>
    </w:p>
    <w:p w14:paraId="4B721EF3" w14:textId="58455A18" w:rsidR="00394893" w:rsidRPr="004030C8" w:rsidRDefault="00394893" w:rsidP="004030C8">
      <w:pPr>
        <w:pStyle w:val="ListParagraph"/>
        <w:numPr>
          <w:ilvl w:val="0"/>
          <w:numId w:val="22"/>
        </w:numPr>
        <w:rPr>
          <w:color w:val="0D0D0D" w:themeColor="text1" w:themeTint="F2"/>
        </w:rPr>
      </w:pPr>
      <w:r w:rsidRPr="004030C8">
        <w:rPr>
          <w:color w:val="0D0D0D" w:themeColor="text1" w:themeTint="F2"/>
        </w:rPr>
        <w:t xml:space="preserve">why the end product is </w:t>
      </w:r>
      <w:proofErr w:type="gramStart"/>
      <w:r w:rsidRPr="004030C8">
        <w:rPr>
          <w:color w:val="0D0D0D" w:themeColor="text1" w:themeTint="F2"/>
        </w:rPr>
        <w:t>noteworthy</w:t>
      </w:r>
      <w:proofErr w:type="gramEnd"/>
    </w:p>
    <w:p w14:paraId="741A2997" w14:textId="5FE2CD21" w:rsidR="00394893" w:rsidRPr="004030C8" w:rsidRDefault="00394893" w:rsidP="004030C8">
      <w:pPr>
        <w:pStyle w:val="ListParagraph"/>
        <w:numPr>
          <w:ilvl w:val="0"/>
          <w:numId w:val="22"/>
        </w:numPr>
        <w:rPr>
          <w:color w:val="0D0D0D" w:themeColor="text1" w:themeTint="F2"/>
        </w:rPr>
      </w:pPr>
      <w:r w:rsidRPr="004030C8">
        <w:rPr>
          <w:color w:val="0D0D0D" w:themeColor="text1" w:themeTint="F2"/>
        </w:rPr>
        <w:t xml:space="preserve">details of the product’s quantitative and/or qualitative benefits. </w:t>
      </w:r>
    </w:p>
    <w:p w14:paraId="2ABA737A" w14:textId="3E11F76D" w:rsidR="00394893" w:rsidRDefault="00394893" w:rsidP="00394893">
      <w:pPr>
        <w:rPr>
          <w:color w:val="0D0D0D" w:themeColor="text1" w:themeTint="F2"/>
          <w:szCs w:val="22"/>
        </w:rPr>
      </w:pPr>
      <w:r w:rsidRPr="00394893">
        <w:rPr>
          <w:color w:val="0D0D0D" w:themeColor="text1" w:themeTint="F2"/>
          <w:szCs w:val="22"/>
        </w:rPr>
        <w:t>(As well as products that have been fully realised, products only developed to concept stage may also be entered into this category. Such entries should provide evidence that the design can be successfully produced.)</w:t>
      </w:r>
    </w:p>
    <w:p w14:paraId="524DD8C1" w14:textId="77777777" w:rsidR="00394893" w:rsidRPr="00394893" w:rsidRDefault="00394893" w:rsidP="00394893">
      <w:pPr>
        <w:rPr>
          <w:color w:val="0D0D0D" w:themeColor="text1" w:themeTint="F2"/>
          <w:szCs w:val="22"/>
        </w:rPr>
      </w:pPr>
    </w:p>
    <w:p w14:paraId="4DECDF45" w14:textId="2D0E5D9C" w:rsidR="00394893" w:rsidRDefault="00394893" w:rsidP="00394893">
      <w:pPr>
        <w:rPr>
          <w:b/>
          <w:bCs/>
          <w:color w:val="818C96"/>
          <w:szCs w:val="22"/>
        </w:rPr>
      </w:pPr>
      <w:r w:rsidRPr="00394893">
        <w:rPr>
          <w:b/>
          <w:bCs/>
          <w:color w:val="818C96"/>
          <w:szCs w:val="22"/>
        </w:rPr>
        <w:t>Innovative solution</w:t>
      </w:r>
    </w:p>
    <w:p w14:paraId="1B29F8F3" w14:textId="77777777" w:rsidR="00394893" w:rsidRPr="00394893" w:rsidRDefault="00394893" w:rsidP="00394893">
      <w:pPr>
        <w:rPr>
          <w:b/>
          <w:bCs/>
          <w:color w:val="818C96"/>
          <w:szCs w:val="22"/>
        </w:rPr>
      </w:pPr>
    </w:p>
    <w:p w14:paraId="1F5DB326" w14:textId="7FFC0AC3" w:rsidR="00394893" w:rsidRDefault="00394893" w:rsidP="00394893">
      <w:pPr>
        <w:rPr>
          <w:color w:val="0D0D0D" w:themeColor="text1" w:themeTint="F2"/>
          <w:szCs w:val="22"/>
        </w:rPr>
      </w:pPr>
      <w:r w:rsidRPr="00394893">
        <w:rPr>
          <w:color w:val="0D0D0D" w:themeColor="text1" w:themeTint="F2"/>
          <w:szCs w:val="22"/>
        </w:rPr>
        <w:t>This award will recognise an innovation in product, process or system connected to the use or manufacture of glass. Entrants should demonstrate a tangible and significant contribution made by the innovation – such as (but not limited to) new ways to exploit or work with glass to solve significant challenges; access to new/larger markets for a glass-based product; improved performance/efficiency; increase in productivity or cost savings. Entries in this category should detail:</w:t>
      </w:r>
    </w:p>
    <w:p w14:paraId="0335DE58" w14:textId="77777777" w:rsidR="00394893" w:rsidRPr="00394893" w:rsidRDefault="00394893" w:rsidP="00394893">
      <w:pPr>
        <w:rPr>
          <w:color w:val="0D0D0D" w:themeColor="text1" w:themeTint="F2"/>
          <w:szCs w:val="22"/>
        </w:rPr>
      </w:pPr>
    </w:p>
    <w:p w14:paraId="5343497F" w14:textId="7055A5FE" w:rsidR="00394893" w:rsidRPr="004030C8" w:rsidRDefault="00394893" w:rsidP="004030C8">
      <w:pPr>
        <w:pStyle w:val="ListParagraph"/>
        <w:numPr>
          <w:ilvl w:val="0"/>
          <w:numId w:val="23"/>
        </w:numPr>
        <w:rPr>
          <w:color w:val="0D0D0D" w:themeColor="text1" w:themeTint="F2"/>
        </w:rPr>
      </w:pPr>
      <w:r w:rsidRPr="004030C8">
        <w:rPr>
          <w:color w:val="0D0D0D" w:themeColor="text1" w:themeTint="F2"/>
        </w:rPr>
        <w:t>background and strategy for this activity</w:t>
      </w:r>
    </w:p>
    <w:p w14:paraId="576776A2" w14:textId="49DCC01D" w:rsidR="00394893" w:rsidRPr="004030C8" w:rsidRDefault="00394893" w:rsidP="004030C8">
      <w:pPr>
        <w:pStyle w:val="ListParagraph"/>
        <w:numPr>
          <w:ilvl w:val="0"/>
          <w:numId w:val="23"/>
        </w:numPr>
        <w:rPr>
          <w:color w:val="0D0D0D" w:themeColor="text1" w:themeTint="F2"/>
        </w:rPr>
      </w:pPr>
      <w:r w:rsidRPr="004030C8">
        <w:rPr>
          <w:color w:val="0D0D0D" w:themeColor="text1" w:themeTint="F2"/>
        </w:rPr>
        <w:t xml:space="preserve">details of how/why it is </w:t>
      </w:r>
      <w:proofErr w:type="gramStart"/>
      <w:r w:rsidRPr="004030C8">
        <w:rPr>
          <w:color w:val="0D0D0D" w:themeColor="text1" w:themeTint="F2"/>
        </w:rPr>
        <w:t>innovative</w:t>
      </w:r>
      <w:proofErr w:type="gramEnd"/>
    </w:p>
    <w:p w14:paraId="373F1B77" w14:textId="06500C4A" w:rsidR="00394893" w:rsidRPr="004030C8" w:rsidRDefault="00394893" w:rsidP="004030C8">
      <w:pPr>
        <w:pStyle w:val="ListParagraph"/>
        <w:numPr>
          <w:ilvl w:val="0"/>
          <w:numId w:val="23"/>
        </w:numPr>
        <w:rPr>
          <w:color w:val="0D0D0D" w:themeColor="text1" w:themeTint="F2"/>
        </w:rPr>
      </w:pPr>
      <w:r w:rsidRPr="004030C8">
        <w:rPr>
          <w:color w:val="0D0D0D" w:themeColor="text1" w:themeTint="F2"/>
        </w:rPr>
        <w:t>evidence of importance and impact</w:t>
      </w:r>
    </w:p>
    <w:p w14:paraId="0B0D6C51" w14:textId="095D7308" w:rsidR="00394893" w:rsidRPr="004030C8" w:rsidRDefault="00394893" w:rsidP="004030C8">
      <w:pPr>
        <w:pStyle w:val="ListParagraph"/>
        <w:numPr>
          <w:ilvl w:val="0"/>
          <w:numId w:val="23"/>
        </w:numPr>
        <w:rPr>
          <w:color w:val="0D0D0D" w:themeColor="text1" w:themeTint="F2"/>
        </w:rPr>
      </w:pPr>
      <w:r w:rsidRPr="004030C8">
        <w:rPr>
          <w:color w:val="0D0D0D" w:themeColor="text1" w:themeTint="F2"/>
        </w:rPr>
        <w:t>information about any further application.</w:t>
      </w:r>
    </w:p>
    <w:p w14:paraId="1D0108DD" w14:textId="449F810D" w:rsidR="00394893" w:rsidRDefault="00394893" w:rsidP="00394893">
      <w:pPr>
        <w:rPr>
          <w:color w:val="0D0D0D" w:themeColor="text1" w:themeTint="F2"/>
          <w:szCs w:val="22"/>
        </w:rPr>
      </w:pPr>
      <w:r w:rsidRPr="00394893">
        <w:rPr>
          <w:color w:val="0D0D0D" w:themeColor="text1" w:themeTint="F2"/>
          <w:szCs w:val="22"/>
        </w:rPr>
        <w:lastRenderedPageBreak/>
        <w:t xml:space="preserve">(Innovative solution entries do not have to be in commercial use/full-scale application. However, concepts still in development should explain and evidence that the results to date indicate probable significant impact.) </w:t>
      </w:r>
    </w:p>
    <w:p w14:paraId="3626BA93" w14:textId="77777777" w:rsidR="00394893" w:rsidRPr="00394893" w:rsidRDefault="00394893" w:rsidP="00394893">
      <w:pPr>
        <w:rPr>
          <w:color w:val="0D0D0D" w:themeColor="text1" w:themeTint="F2"/>
          <w:szCs w:val="22"/>
        </w:rPr>
      </w:pPr>
    </w:p>
    <w:p w14:paraId="4BBDCAEB" w14:textId="463325E0" w:rsidR="00394893" w:rsidRDefault="00394893" w:rsidP="00394893">
      <w:pPr>
        <w:rPr>
          <w:b/>
          <w:bCs/>
          <w:color w:val="818C96"/>
          <w:szCs w:val="22"/>
        </w:rPr>
      </w:pPr>
      <w:r w:rsidRPr="00394893">
        <w:rPr>
          <w:b/>
          <w:bCs/>
          <w:color w:val="818C96"/>
          <w:szCs w:val="22"/>
        </w:rPr>
        <w:t>Health and safety action</w:t>
      </w:r>
    </w:p>
    <w:p w14:paraId="3340D446" w14:textId="77777777" w:rsidR="00394893" w:rsidRPr="00394893" w:rsidRDefault="00394893" w:rsidP="00394893">
      <w:pPr>
        <w:rPr>
          <w:b/>
          <w:bCs/>
          <w:color w:val="818C96"/>
          <w:szCs w:val="22"/>
        </w:rPr>
      </w:pPr>
    </w:p>
    <w:p w14:paraId="4B1E81E5" w14:textId="591C495C" w:rsidR="00394893" w:rsidRDefault="00394893" w:rsidP="00394893">
      <w:pPr>
        <w:rPr>
          <w:color w:val="0D0D0D" w:themeColor="text1" w:themeTint="F2"/>
          <w:szCs w:val="22"/>
        </w:rPr>
      </w:pPr>
      <w:r w:rsidRPr="00394893">
        <w:rPr>
          <w:color w:val="0D0D0D" w:themeColor="text1" w:themeTint="F2"/>
          <w:szCs w:val="22"/>
        </w:rPr>
        <w:t xml:space="preserve">The glass sector’s productivity and success rests on its employees – so protecting their health, safety and wellbeing is paramount. This award will recognise a company that has demonstrated aspirational management of health and safety. Entries for this award should feature a new or improved technique, programme of upgrades, research activity or initiative that has demonstrably improved the safety, </w:t>
      </w:r>
      <w:proofErr w:type="gramStart"/>
      <w:r w:rsidRPr="00394893">
        <w:rPr>
          <w:color w:val="0D0D0D" w:themeColor="text1" w:themeTint="F2"/>
          <w:szCs w:val="22"/>
        </w:rPr>
        <w:t>health</w:t>
      </w:r>
      <w:proofErr w:type="gramEnd"/>
      <w:r w:rsidRPr="00394893">
        <w:rPr>
          <w:color w:val="0D0D0D" w:themeColor="text1" w:themeTint="F2"/>
          <w:szCs w:val="22"/>
        </w:rPr>
        <w:t xml:space="preserve"> or wellbeing of its staff (and other directly affected parties if applicable). Entries should detail:</w:t>
      </w:r>
    </w:p>
    <w:p w14:paraId="2D3736A6" w14:textId="77777777" w:rsidR="00394893" w:rsidRPr="00394893" w:rsidRDefault="00394893" w:rsidP="00394893">
      <w:pPr>
        <w:rPr>
          <w:color w:val="0D0D0D" w:themeColor="text1" w:themeTint="F2"/>
          <w:szCs w:val="22"/>
        </w:rPr>
      </w:pPr>
    </w:p>
    <w:p w14:paraId="6C6A16F0" w14:textId="68399D11" w:rsidR="00394893" w:rsidRPr="004030C8" w:rsidRDefault="00394893" w:rsidP="004030C8">
      <w:pPr>
        <w:pStyle w:val="ListParagraph"/>
        <w:numPr>
          <w:ilvl w:val="0"/>
          <w:numId w:val="24"/>
        </w:numPr>
        <w:rPr>
          <w:color w:val="0D0D0D" w:themeColor="text1" w:themeTint="F2"/>
        </w:rPr>
      </w:pPr>
      <w:r w:rsidRPr="004030C8">
        <w:rPr>
          <w:color w:val="0D0D0D" w:themeColor="text1" w:themeTint="F2"/>
        </w:rPr>
        <w:t xml:space="preserve">a description of the initiative itself and how it came </w:t>
      </w:r>
      <w:proofErr w:type="gramStart"/>
      <w:r w:rsidRPr="004030C8">
        <w:rPr>
          <w:color w:val="0D0D0D" w:themeColor="text1" w:themeTint="F2"/>
        </w:rPr>
        <w:t>about</w:t>
      </w:r>
      <w:proofErr w:type="gramEnd"/>
    </w:p>
    <w:p w14:paraId="3CFEF2D8" w14:textId="04AF6AF4" w:rsidR="00394893" w:rsidRPr="004030C8" w:rsidRDefault="00394893" w:rsidP="004030C8">
      <w:pPr>
        <w:pStyle w:val="ListParagraph"/>
        <w:numPr>
          <w:ilvl w:val="0"/>
          <w:numId w:val="24"/>
        </w:numPr>
        <w:rPr>
          <w:color w:val="0D0D0D" w:themeColor="text1" w:themeTint="F2"/>
        </w:rPr>
      </w:pPr>
      <w:r w:rsidRPr="004030C8">
        <w:rPr>
          <w:color w:val="0D0D0D" w:themeColor="text1" w:themeTint="F2"/>
        </w:rPr>
        <w:t xml:space="preserve">the issue/risk </w:t>
      </w:r>
      <w:proofErr w:type="gramStart"/>
      <w:r w:rsidRPr="004030C8">
        <w:rPr>
          <w:color w:val="0D0D0D" w:themeColor="text1" w:themeTint="F2"/>
        </w:rPr>
        <w:t>addressed</w:t>
      </w:r>
      <w:proofErr w:type="gramEnd"/>
    </w:p>
    <w:p w14:paraId="1BB71379" w14:textId="2DFF43AB" w:rsidR="00394893" w:rsidRPr="004030C8" w:rsidRDefault="00394893" w:rsidP="004030C8">
      <w:pPr>
        <w:pStyle w:val="ListParagraph"/>
        <w:numPr>
          <w:ilvl w:val="0"/>
          <w:numId w:val="24"/>
        </w:numPr>
        <w:rPr>
          <w:color w:val="0D0D0D" w:themeColor="text1" w:themeTint="F2"/>
        </w:rPr>
      </w:pPr>
      <w:r w:rsidRPr="004030C8">
        <w:rPr>
          <w:color w:val="0D0D0D" w:themeColor="text1" w:themeTint="F2"/>
        </w:rPr>
        <w:t xml:space="preserve">which staff (roles) have been involved and </w:t>
      </w:r>
      <w:proofErr w:type="gramStart"/>
      <w:r w:rsidRPr="004030C8">
        <w:rPr>
          <w:color w:val="0D0D0D" w:themeColor="text1" w:themeTint="F2"/>
        </w:rPr>
        <w:t>how</w:t>
      </w:r>
      <w:proofErr w:type="gramEnd"/>
    </w:p>
    <w:p w14:paraId="5972DBFA" w14:textId="0A8AF3CD" w:rsidR="00394893" w:rsidRPr="004030C8" w:rsidRDefault="00394893" w:rsidP="004030C8">
      <w:pPr>
        <w:pStyle w:val="ListParagraph"/>
        <w:numPr>
          <w:ilvl w:val="0"/>
          <w:numId w:val="24"/>
        </w:numPr>
        <w:rPr>
          <w:color w:val="0D0D0D" w:themeColor="text1" w:themeTint="F2"/>
        </w:rPr>
      </w:pPr>
      <w:r w:rsidRPr="004030C8">
        <w:rPr>
          <w:color w:val="0D0D0D" w:themeColor="text1" w:themeTint="F2"/>
        </w:rPr>
        <w:t xml:space="preserve">details of the change that it has brought </w:t>
      </w:r>
      <w:proofErr w:type="gramStart"/>
      <w:r w:rsidRPr="004030C8">
        <w:rPr>
          <w:color w:val="0D0D0D" w:themeColor="text1" w:themeTint="F2"/>
        </w:rPr>
        <w:t>about</w:t>
      </w:r>
      <w:proofErr w:type="gramEnd"/>
      <w:r w:rsidRPr="004030C8">
        <w:rPr>
          <w:color w:val="0D0D0D" w:themeColor="text1" w:themeTint="F2"/>
        </w:rPr>
        <w:t xml:space="preserve"> </w:t>
      </w:r>
    </w:p>
    <w:p w14:paraId="266DE98D" w14:textId="3D6D7A4F" w:rsidR="00394893" w:rsidRPr="004030C8" w:rsidRDefault="00394893" w:rsidP="004030C8">
      <w:pPr>
        <w:pStyle w:val="ListParagraph"/>
        <w:numPr>
          <w:ilvl w:val="0"/>
          <w:numId w:val="24"/>
        </w:numPr>
        <w:rPr>
          <w:color w:val="0D0D0D" w:themeColor="text1" w:themeTint="F2"/>
        </w:rPr>
      </w:pPr>
      <w:r w:rsidRPr="004030C8">
        <w:rPr>
          <w:color w:val="0D0D0D" w:themeColor="text1" w:themeTint="F2"/>
        </w:rPr>
        <w:t>before and after data if applicable.</w:t>
      </w:r>
    </w:p>
    <w:p w14:paraId="2BF9F20F" w14:textId="77777777" w:rsidR="00394893" w:rsidRPr="00394893" w:rsidRDefault="00394893" w:rsidP="00B1738F">
      <w:pPr>
        <w:pStyle w:val="ListParagraph"/>
        <w:ind w:left="1080"/>
        <w:rPr>
          <w:color w:val="0D0D0D" w:themeColor="text1" w:themeTint="F2"/>
        </w:rPr>
      </w:pPr>
    </w:p>
    <w:p w14:paraId="61A596FE" w14:textId="7CA5281E" w:rsidR="00394893" w:rsidRDefault="00394893" w:rsidP="00394893">
      <w:pPr>
        <w:rPr>
          <w:b/>
          <w:bCs/>
          <w:color w:val="818C96"/>
          <w:szCs w:val="22"/>
        </w:rPr>
      </w:pPr>
      <w:r w:rsidRPr="00394893">
        <w:rPr>
          <w:b/>
          <w:bCs/>
          <w:color w:val="818C96"/>
          <w:szCs w:val="22"/>
        </w:rPr>
        <w:t xml:space="preserve">Sustainable practice </w:t>
      </w:r>
    </w:p>
    <w:p w14:paraId="6701006E" w14:textId="77777777" w:rsidR="00394893" w:rsidRPr="00394893" w:rsidRDefault="00394893" w:rsidP="00394893">
      <w:pPr>
        <w:rPr>
          <w:b/>
          <w:bCs/>
          <w:color w:val="818C96"/>
          <w:szCs w:val="22"/>
        </w:rPr>
      </w:pPr>
    </w:p>
    <w:p w14:paraId="289E8722" w14:textId="2C7A6DC7" w:rsidR="00394893" w:rsidRDefault="00394893" w:rsidP="00394893">
      <w:pPr>
        <w:rPr>
          <w:color w:val="0D0D0D" w:themeColor="text1" w:themeTint="F2"/>
          <w:szCs w:val="22"/>
        </w:rPr>
      </w:pPr>
      <w:r w:rsidRPr="00394893">
        <w:rPr>
          <w:color w:val="0D0D0D" w:themeColor="text1" w:themeTint="F2"/>
          <w:szCs w:val="22"/>
        </w:rPr>
        <w:t xml:space="preserve">In this category we are looking for practical examples of glass sector organisations achieving environmental improvement by taking action to manage materials, energy, </w:t>
      </w:r>
      <w:proofErr w:type="gramStart"/>
      <w:r w:rsidRPr="00394893">
        <w:rPr>
          <w:color w:val="0D0D0D" w:themeColor="text1" w:themeTint="F2"/>
          <w:szCs w:val="22"/>
        </w:rPr>
        <w:t>emissions</w:t>
      </w:r>
      <w:proofErr w:type="gramEnd"/>
      <w:r w:rsidRPr="00394893">
        <w:rPr>
          <w:color w:val="0D0D0D" w:themeColor="text1" w:themeTint="F2"/>
          <w:szCs w:val="22"/>
        </w:rPr>
        <w:t xml:space="preserve"> or waste. Entrants should demonstrate how the initiative has contributed to productivity, efficiency or competitiveness while delivering environmental benefits. Entries in this category should include:</w:t>
      </w:r>
    </w:p>
    <w:p w14:paraId="6FD241C2" w14:textId="77777777" w:rsidR="00394893" w:rsidRPr="00394893" w:rsidRDefault="00394893" w:rsidP="00394893">
      <w:pPr>
        <w:rPr>
          <w:color w:val="0D0D0D" w:themeColor="text1" w:themeTint="F2"/>
          <w:szCs w:val="22"/>
        </w:rPr>
      </w:pPr>
    </w:p>
    <w:p w14:paraId="64B2FCAA" w14:textId="247FE4C9"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an overview of the issue(s) addressed and evidence of </w:t>
      </w:r>
      <w:proofErr w:type="gramStart"/>
      <w:r w:rsidRPr="00394893">
        <w:rPr>
          <w:color w:val="0D0D0D" w:themeColor="text1" w:themeTint="F2"/>
        </w:rPr>
        <w:t>need</w:t>
      </w:r>
      <w:proofErr w:type="gramEnd"/>
    </w:p>
    <w:p w14:paraId="4193F361" w14:textId="26985E6A"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assessment of the outcomes and impact</w:t>
      </w:r>
    </w:p>
    <w:p w14:paraId="63ECA01C" w14:textId="7C4684ED" w:rsidR="00394893" w:rsidRDefault="00394893" w:rsidP="00394893">
      <w:pPr>
        <w:pStyle w:val="ListParagraph"/>
        <w:numPr>
          <w:ilvl w:val="0"/>
          <w:numId w:val="11"/>
        </w:numPr>
        <w:rPr>
          <w:color w:val="0D0D0D" w:themeColor="text1" w:themeTint="F2"/>
        </w:rPr>
      </w:pPr>
      <w:r w:rsidRPr="00394893">
        <w:rPr>
          <w:color w:val="0D0D0D" w:themeColor="text1" w:themeTint="F2"/>
        </w:rPr>
        <w:t>information about further application/extension or next steps.</w:t>
      </w:r>
    </w:p>
    <w:p w14:paraId="38667D2C" w14:textId="77777777" w:rsidR="00394893" w:rsidRPr="00394893" w:rsidRDefault="00394893" w:rsidP="00394893">
      <w:pPr>
        <w:pStyle w:val="ListParagraph"/>
        <w:ind w:left="1080"/>
        <w:rPr>
          <w:color w:val="0D0D0D" w:themeColor="text1" w:themeTint="F2"/>
        </w:rPr>
      </w:pPr>
    </w:p>
    <w:p w14:paraId="07C74424" w14:textId="18011A49" w:rsidR="00394893" w:rsidRDefault="00394893" w:rsidP="00394893">
      <w:pPr>
        <w:rPr>
          <w:b/>
          <w:bCs/>
          <w:color w:val="818C96"/>
          <w:szCs w:val="22"/>
        </w:rPr>
      </w:pPr>
      <w:r w:rsidRPr="00394893">
        <w:rPr>
          <w:b/>
          <w:bCs/>
          <w:color w:val="818C96"/>
          <w:szCs w:val="22"/>
        </w:rPr>
        <w:t>Rising Star</w:t>
      </w:r>
    </w:p>
    <w:p w14:paraId="7D5A2F8B" w14:textId="77777777" w:rsidR="00394893" w:rsidRPr="00394893" w:rsidRDefault="00394893" w:rsidP="00394893">
      <w:pPr>
        <w:rPr>
          <w:b/>
          <w:bCs/>
          <w:color w:val="818C96"/>
          <w:szCs w:val="22"/>
        </w:rPr>
      </w:pPr>
    </w:p>
    <w:p w14:paraId="028DD71F" w14:textId="77777777" w:rsidR="00394893" w:rsidRPr="00394893" w:rsidRDefault="00394893" w:rsidP="00394893">
      <w:pPr>
        <w:rPr>
          <w:color w:val="0D0D0D" w:themeColor="text1" w:themeTint="F2"/>
          <w:szCs w:val="22"/>
        </w:rPr>
      </w:pPr>
      <w:r w:rsidRPr="00394893">
        <w:rPr>
          <w:color w:val="0D0D0D" w:themeColor="text1" w:themeTint="F2"/>
          <w:szCs w:val="22"/>
        </w:rPr>
        <w:t>This award is open to any individual under the age of 30 engaged in a formal apprenticeship or graduate/training programme within the glass industry.</w:t>
      </w:r>
    </w:p>
    <w:p w14:paraId="16828307" w14:textId="07DEDD36" w:rsidR="00394893" w:rsidRDefault="00394893" w:rsidP="00394893">
      <w:pPr>
        <w:rPr>
          <w:color w:val="0D0D0D" w:themeColor="text1" w:themeTint="F2"/>
          <w:szCs w:val="22"/>
        </w:rPr>
      </w:pPr>
      <w:r w:rsidRPr="00394893">
        <w:rPr>
          <w:color w:val="0D0D0D" w:themeColor="text1" w:themeTint="F2"/>
          <w:szCs w:val="22"/>
        </w:rPr>
        <w:t>The judges will be looking for a winner who has shown great achievement, contribution to the organisation and continuing development during their time with the company. Entries in this category should include:</w:t>
      </w:r>
    </w:p>
    <w:p w14:paraId="0BD921E2" w14:textId="77777777" w:rsidR="00394893" w:rsidRPr="00394893" w:rsidRDefault="00394893" w:rsidP="00394893">
      <w:pPr>
        <w:rPr>
          <w:color w:val="0D0D0D" w:themeColor="text1" w:themeTint="F2"/>
          <w:szCs w:val="22"/>
        </w:rPr>
      </w:pPr>
    </w:p>
    <w:p w14:paraId="27E950F4" w14:textId="09E54603"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name, </w:t>
      </w:r>
      <w:proofErr w:type="gramStart"/>
      <w:r w:rsidRPr="00394893">
        <w:rPr>
          <w:color w:val="0D0D0D" w:themeColor="text1" w:themeTint="F2"/>
        </w:rPr>
        <w:t>age</w:t>
      </w:r>
      <w:proofErr w:type="gramEnd"/>
      <w:r w:rsidRPr="00394893">
        <w:rPr>
          <w:color w:val="0D0D0D" w:themeColor="text1" w:themeTint="F2"/>
        </w:rPr>
        <w:t xml:space="preserve"> and place of work of the individual</w:t>
      </w:r>
    </w:p>
    <w:p w14:paraId="3CD36DF8" w14:textId="090D34F1"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a brief description of their role </w:t>
      </w:r>
    </w:p>
    <w:p w14:paraId="162E87F5" w14:textId="2FB52A84"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details of education, </w:t>
      </w:r>
      <w:proofErr w:type="gramStart"/>
      <w:r w:rsidRPr="00394893">
        <w:rPr>
          <w:color w:val="0D0D0D" w:themeColor="text1" w:themeTint="F2"/>
        </w:rPr>
        <w:t>apprenticeship</w:t>
      </w:r>
      <w:proofErr w:type="gramEnd"/>
      <w:r w:rsidRPr="00394893">
        <w:rPr>
          <w:color w:val="0D0D0D" w:themeColor="text1" w:themeTint="F2"/>
        </w:rPr>
        <w:t xml:space="preserve"> or training programme.</w:t>
      </w:r>
    </w:p>
    <w:p w14:paraId="122272B6" w14:textId="101C83C0" w:rsidR="00394893" w:rsidRPr="00394893" w:rsidRDefault="00394893" w:rsidP="00394893">
      <w:pPr>
        <w:pStyle w:val="ListParagraph"/>
        <w:numPr>
          <w:ilvl w:val="0"/>
          <w:numId w:val="11"/>
        </w:numPr>
        <w:rPr>
          <w:color w:val="0D0D0D" w:themeColor="text1" w:themeTint="F2"/>
        </w:rPr>
      </w:pPr>
      <w:r w:rsidRPr="00394893">
        <w:rPr>
          <w:color w:val="0D0D0D" w:themeColor="text1" w:themeTint="F2"/>
        </w:rPr>
        <w:t xml:space="preserve">examples from their work that show their achievements, </w:t>
      </w:r>
      <w:proofErr w:type="gramStart"/>
      <w:r w:rsidRPr="00394893">
        <w:rPr>
          <w:color w:val="0D0D0D" w:themeColor="text1" w:themeTint="F2"/>
        </w:rPr>
        <w:t>development</w:t>
      </w:r>
      <w:proofErr w:type="gramEnd"/>
      <w:r w:rsidRPr="00394893">
        <w:rPr>
          <w:color w:val="0D0D0D" w:themeColor="text1" w:themeTint="F2"/>
        </w:rPr>
        <w:t xml:space="preserve"> and impact in the business.</w:t>
      </w:r>
    </w:p>
    <w:p w14:paraId="5A4DB8B6" w14:textId="77777777" w:rsidR="00CB7DBA" w:rsidRDefault="00CB7DBA" w:rsidP="00394893">
      <w:pPr>
        <w:rPr>
          <w:b/>
          <w:bCs/>
          <w:color w:val="818C96"/>
          <w:szCs w:val="22"/>
        </w:rPr>
      </w:pPr>
    </w:p>
    <w:p w14:paraId="4E976624" w14:textId="0CBA1895" w:rsidR="00394893" w:rsidRDefault="00394893" w:rsidP="00394893">
      <w:pPr>
        <w:rPr>
          <w:b/>
          <w:bCs/>
          <w:color w:val="818C96"/>
          <w:szCs w:val="22"/>
        </w:rPr>
      </w:pPr>
      <w:r w:rsidRPr="00394893">
        <w:rPr>
          <w:b/>
          <w:bCs/>
          <w:color w:val="818C96"/>
          <w:szCs w:val="22"/>
        </w:rPr>
        <w:t xml:space="preserve">Strengthening business through people </w:t>
      </w:r>
    </w:p>
    <w:p w14:paraId="4B260384" w14:textId="77777777" w:rsidR="00394893" w:rsidRPr="00394893" w:rsidRDefault="00394893" w:rsidP="00394893">
      <w:pPr>
        <w:rPr>
          <w:b/>
          <w:bCs/>
          <w:color w:val="818C96"/>
          <w:szCs w:val="22"/>
        </w:rPr>
      </w:pPr>
    </w:p>
    <w:p w14:paraId="21364B7F" w14:textId="60E5B83B" w:rsidR="00394893" w:rsidRDefault="00394893" w:rsidP="00394893">
      <w:pPr>
        <w:rPr>
          <w:color w:val="0D0D0D" w:themeColor="text1" w:themeTint="F2"/>
          <w:szCs w:val="22"/>
        </w:rPr>
      </w:pPr>
      <w:r w:rsidRPr="00394893">
        <w:rPr>
          <w:color w:val="0D0D0D" w:themeColor="text1" w:themeTint="F2"/>
          <w:szCs w:val="22"/>
        </w:rPr>
        <w:t xml:space="preserve">To remain competitive and progressive the glass industry and its supply chain needs a workforce </w:t>
      </w:r>
      <w:proofErr w:type="gramStart"/>
      <w:r w:rsidRPr="00394893">
        <w:rPr>
          <w:color w:val="0D0D0D" w:themeColor="text1" w:themeTint="F2"/>
          <w:szCs w:val="22"/>
        </w:rPr>
        <w:t>that’s</w:t>
      </w:r>
      <w:proofErr w:type="gramEnd"/>
      <w:r w:rsidRPr="00394893">
        <w:rPr>
          <w:color w:val="0D0D0D" w:themeColor="text1" w:themeTint="F2"/>
          <w:szCs w:val="22"/>
        </w:rPr>
        <w:t xml:space="preserve"> equipped with the right technical, commercial, management and leadership skills. This award </w:t>
      </w:r>
      <w:r w:rsidRPr="00394893">
        <w:rPr>
          <w:color w:val="0D0D0D" w:themeColor="text1" w:themeTint="F2"/>
          <w:szCs w:val="22"/>
        </w:rPr>
        <w:lastRenderedPageBreak/>
        <w:t xml:space="preserve">will recognise those who are going the extra mile to ensure our industry’s future competitiveness by supporting the development and diversity of its talent pipeline. We hope to hear from organisations that have developed innovative recruitment, </w:t>
      </w:r>
      <w:proofErr w:type="gramStart"/>
      <w:r w:rsidRPr="00394893">
        <w:rPr>
          <w:color w:val="0D0D0D" w:themeColor="text1" w:themeTint="F2"/>
          <w:szCs w:val="22"/>
        </w:rPr>
        <w:t>training</w:t>
      </w:r>
      <w:proofErr w:type="gramEnd"/>
      <w:r w:rsidRPr="00394893">
        <w:rPr>
          <w:color w:val="0D0D0D" w:themeColor="text1" w:themeTint="F2"/>
          <w:szCs w:val="22"/>
        </w:rPr>
        <w:t xml:space="preserve"> or development activities. Entries in this category should include:</w:t>
      </w:r>
    </w:p>
    <w:p w14:paraId="67D9A418" w14:textId="77777777" w:rsidR="00BF7C8C" w:rsidRPr="00394893" w:rsidRDefault="00BF7C8C" w:rsidP="00394893">
      <w:pPr>
        <w:rPr>
          <w:color w:val="0D0D0D" w:themeColor="text1" w:themeTint="F2"/>
          <w:szCs w:val="22"/>
        </w:rPr>
      </w:pPr>
    </w:p>
    <w:p w14:paraId="3AFB0780" w14:textId="3DDE1340" w:rsidR="00394893" w:rsidRPr="00BF7C8C" w:rsidRDefault="00394893" w:rsidP="00BF7C8C">
      <w:pPr>
        <w:pStyle w:val="ListParagraph"/>
        <w:numPr>
          <w:ilvl w:val="0"/>
          <w:numId w:val="20"/>
        </w:numPr>
        <w:rPr>
          <w:color w:val="0D0D0D" w:themeColor="text1" w:themeTint="F2"/>
        </w:rPr>
      </w:pPr>
      <w:r w:rsidRPr="00BF7C8C">
        <w:rPr>
          <w:color w:val="0D0D0D" w:themeColor="text1" w:themeTint="F2"/>
        </w:rPr>
        <w:t xml:space="preserve">an explanation of the business challenge </w:t>
      </w:r>
      <w:proofErr w:type="gramStart"/>
      <w:r w:rsidRPr="00BF7C8C">
        <w:rPr>
          <w:color w:val="0D0D0D" w:themeColor="text1" w:themeTint="F2"/>
        </w:rPr>
        <w:t>addressed</w:t>
      </w:r>
      <w:proofErr w:type="gramEnd"/>
    </w:p>
    <w:p w14:paraId="4B5B9476" w14:textId="56F25A57" w:rsidR="00394893" w:rsidRPr="00BF7C8C" w:rsidRDefault="00394893" w:rsidP="00BF7C8C">
      <w:pPr>
        <w:pStyle w:val="ListParagraph"/>
        <w:numPr>
          <w:ilvl w:val="0"/>
          <w:numId w:val="20"/>
        </w:numPr>
        <w:rPr>
          <w:color w:val="0D0D0D" w:themeColor="text1" w:themeTint="F2"/>
        </w:rPr>
      </w:pPr>
      <w:r w:rsidRPr="00BF7C8C">
        <w:rPr>
          <w:color w:val="0D0D0D" w:themeColor="text1" w:themeTint="F2"/>
        </w:rPr>
        <w:t xml:space="preserve">details of the specific activity including the job roles it focused on, number of staff involved and how it was </w:t>
      </w:r>
      <w:proofErr w:type="gramStart"/>
      <w:r w:rsidRPr="00BF7C8C">
        <w:rPr>
          <w:color w:val="0D0D0D" w:themeColor="text1" w:themeTint="F2"/>
        </w:rPr>
        <w:t>implemented</w:t>
      </w:r>
      <w:proofErr w:type="gramEnd"/>
    </w:p>
    <w:p w14:paraId="135B6057" w14:textId="1D216CDD" w:rsidR="00394893" w:rsidRPr="00BF7C8C" w:rsidRDefault="00394893" w:rsidP="00BF7C8C">
      <w:pPr>
        <w:pStyle w:val="ListParagraph"/>
        <w:numPr>
          <w:ilvl w:val="0"/>
          <w:numId w:val="20"/>
        </w:numPr>
        <w:rPr>
          <w:color w:val="0D0D0D" w:themeColor="text1" w:themeTint="F2"/>
        </w:rPr>
      </w:pPr>
      <w:r w:rsidRPr="00BF7C8C">
        <w:rPr>
          <w:color w:val="0D0D0D" w:themeColor="text1" w:themeTint="F2"/>
        </w:rPr>
        <w:t xml:space="preserve">quantitate/qualitative assessment of the outcomes and </w:t>
      </w:r>
      <w:proofErr w:type="gramStart"/>
      <w:r w:rsidRPr="00BF7C8C">
        <w:rPr>
          <w:color w:val="0D0D0D" w:themeColor="text1" w:themeTint="F2"/>
        </w:rPr>
        <w:t>impact</w:t>
      </w:r>
      <w:proofErr w:type="gramEnd"/>
    </w:p>
    <w:p w14:paraId="338BAB8B" w14:textId="0AA90BCB" w:rsidR="00394893" w:rsidRPr="00BF7C8C" w:rsidRDefault="00394893" w:rsidP="00BF7C8C">
      <w:pPr>
        <w:pStyle w:val="ListParagraph"/>
        <w:numPr>
          <w:ilvl w:val="0"/>
          <w:numId w:val="20"/>
        </w:numPr>
        <w:rPr>
          <w:color w:val="0D0D0D" w:themeColor="text1" w:themeTint="F2"/>
        </w:rPr>
      </w:pPr>
      <w:r w:rsidRPr="00BF7C8C">
        <w:rPr>
          <w:color w:val="0D0D0D" w:themeColor="text1" w:themeTint="F2"/>
        </w:rPr>
        <w:t>plans for further application/extension or next steps.</w:t>
      </w:r>
    </w:p>
    <w:p w14:paraId="1040C758" w14:textId="77777777" w:rsidR="00394893" w:rsidRPr="00394893" w:rsidRDefault="00394893" w:rsidP="00394893">
      <w:pPr>
        <w:rPr>
          <w:color w:val="0D0D0D" w:themeColor="text1" w:themeTint="F2"/>
          <w:szCs w:val="22"/>
        </w:rPr>
      </w:pPr>
    </w:p>
    <w:p w14:paraId="202C3843" w14:textId="09EA2D1D" w:rsidR="00394893" w:rsidRDefault="00394893" w:rsidP="00394893">
      <w:pPr>
        <w:rPr>
          <w:b/>
          <w:bCs/>
          <w:color w:val="818C96"/>
          <w:szCs w:val="22"/>
        </w:rPr>
      </w:pPr>
      <w:r w:rsidRPr="00394893">
        <w:rPr>
          <w:b/>
          <w:bCs/>
          <w:color w:val="818C96"/>
          <w:szCs w:val="22"/>
        </w:rPr>
        <w:t>Marketing impact</w:t>
      </w:r>
    </w:p>
    <w:p w14:paraId="77D163F5" w14:textId="77777777" w:rsidR="00394893" w:rsidRPr="00394893" w:rsidRDefault="00394893" w:rsidP="00394893">
      <w:pPr>
        <w:rPr>
          <w:b/>
          <w:bCs/>
          <w:color w:val="818C96"/>
          <w:szCs w:val="22"/>
        </w:rPr>
      </w:pPr>
    </w:p>
    <w:p w14:paraId="5B772C25" w14:textId="36F4B793" w:rsidR="00394893" w:rsidRDefault="00394893" w:rsidP="00394893">
      <w:pPr>
        <w:rPr>
          <w:color w:val="0D0D0D" w:themeColor="text1" w:themeTint="F2"/>
          <w:szCs w:val="22"/>
        </w:rPr>
      </w:pPr>
      <w:r w:rsidRPr="00394893">
        <w:rPr>
          <w:color w:val="0D0D0D" w:themeColor="text1" w:themeTint="F2"/>
          <w:szCs w:val="22"/>
        </w:rPr>
        <w:t xml:space="preserve">This award will recognise an exceptional marketing campaign in the field of glass or glass recycling. And could include services or product promotion, corporate </w:t>
      </w:r>
      <w:proofErr w:type="gramStart"/>
      <w:r w:rsidRPr="00394893">
        <w:rPr>
          <w:color w:val="0D0D0D" w:themeColor="text1" w:themeTint="F2"/>
          <w:szCs w:val="22"/>
        </w:rPr>
        <w:t>advertising</w:t>
      </w:r>
      <w:proofErr w:type="gramEnd"/>
      <w:r w:rsidRPr="00394893">
        <w:rPr>
          <w:color w:val="0D0D0D" w:themeColor="text1" w:themeTint="F2"/>
          <w:szCs w:val="22"/>
        </w:rPr>
        <w:t xml:space="preserve"> or a local authority awareness campaign. Entries in this category should include:</w:t>
      </w:r>
    </w:p>
    <w:p w14:paraId="653348C2" w14:textId="77777777" w:rsidR="00394893" w:rsidRPr="00394893" w:rsidRDefault="00394893" w:rsidP="00394893">
      <w:pPr>
        <w:rPr>
          <w:color w:val="0D0D0D" w:themeColor="text1" w:themeTint="F2"/>
          <w:szCs w:val="22"/>
        </w:rPr>
      </w:pPr>
    </w:p>
    <w:p w14:paraId="05E55E10" w14:textId="1C34589F" w:rsidR="00394893" w:rsidRPr="00BF7C8C" w:rsidRDefault="00394893" w:rsidP="00BF7C8C">
      <w:pPr>
        <w:pStyle w:val="ListParagraph"/>
        <w:numPr>
          <w:ilvl w:val="0"/>
          <w:numId w:val="19"/>
        </w:numPr>
        <w:rPr>
          <w:color w:val="0D0D0D" w:themeColor="text1" w:themeTint="F2"/>
        </w:rPr>
      </w:pPr>
      <w:r w:rsidRPr="00BF7C8C">
        <w:rPr>
          <w:color w:val="0D0D0D" w:themeColor="text1" w:themeTint="F2"/>
        </w:rPr>
        <w:t xml:space="preserve">Background, key </w:t>
      </w:r>
      <w:proofErr w:type="gramStart"/>
      <w:r w:rsidRPr="00BF7C8C">
        <w:rPr>
          <w:color w:val="0D0D0D" w:themeColor="text1" w:themeTint="F2"/>
        </w:rPr>
        <w:t>messages</w:t>
      </w:r>
      <w:proofErr w:type="gramEnd"/>
      <w:r w:rsidRPr="00BF7C8C">
        <w:rPr>
          <w:color w:val="0D0D0D" w:themeColor="text1" w:themeTint="F2"/>
        </w:rPr>
        <w:t xml:space="preserve"> and target audience of the campaign</w:t>
      </w:r>
    </w:p>
    <w:p w14:paraId="4B563E64" w14:textId="586D319E" w:rsidR="00394893" w:rsidRPr="00BF7C8C" w:rsidRDefault="00394893" w:rsidP="00BF7C8C">
      <w:pPr>
        <w:pStyle w:val="ListParagraph"/>
        <w:numPr>
          <w:ilvl w:val="0"/>
          <w:numId w:val="19"/>
        </w:numPr>
        <w:rPr>
          <w:color w:val="0D0D0D" w:themeColor="text1" w:themeTint="F2"/>
        </w:rPr>
      </w:pPr>
      <w:r w:rsidRPr="00BF7C8C">
        <w:rPr>
          <w:color w:val="0D0D0D" w:themeColor="text1" w:themeTint="F2"/>
        </w:rPr>
        <w:t xml:space="preserve">Video, images and other visual content </w:t>
      </w:r>
      <w:proofErr w:type="gramStart"/>
      <w:r w:rsidRPr="00BF7C8C">
        <w:rPr>
          <w:color w:val="0D0D0D" w:themeColor="text1" w:themeTint="F2"/>
        </w:rPr>
        <w:t>developed</w:t>
      </w:r>
      <w:proofErr w:type="gramEnd"/>
    </w:p>
    <w:p w14:paraId="46A44D1B" w14:textId="78463A6B" w:rsidR="00394893" w:rsidRPr="00BF7C8C" w:rsidRDefault="00394893" w:rsidP="00BF7C8C">
      <w:pPr>
        <w:pStyle w:val="ListParagraph"/>
        <w:numPr>
          <w:ilvl w:val="0"/>
          <w:numId w:val="19"/>
        </w:numPr>
        <w:rPr>
          <w:color w:val="0D0D0D" w:themeColor="text1" w:themeTint="F2"/>
        </w:rPr>
      </w:pPr>
      <w:r w:rsidRPr="00BF7C8C">
        <w:rPr>
          <w:color w:val="0D0D0D" w:themeColor="text1" w:themeTint="F2"/>
        </w:rPr>
        <w:t>Outcomes and impact.</w:t>
      </w:r>
    </w:p>
    <w:p w14:paraId="282EE94A" w14:textId="29991AA6" w:rsidR="00394893" w:rsidRDefault="00394893" w:rsidP="00BF7C8C">
      <w:pPr>
        <w:pStyle w:val="ListParagraph"/>
        <w:numPr>
          <w:ilvl w:val="0"/>
          <w:numId w:val="19"/>
        </w:numPr>
        <w:rPr>
          <w:color w:val="0D0D0D" w:themeColor="text1" w:themeTint="F2"/>
        </w:rPr>
      </w:pPr>
      <w:r w:rsidRPr="00BF7C8C">
        <w:rPr>
          <w:color w:val="0D0D0D" w:themeColor="text1" w:themeTint="F2"/>
        </w:rPr>
        <w:t>Plans for follow up campaigns or actions.</w:t>
      </w:r>
    </w:p>
    <w:p w14:paraId="71A02E50" w14:textId="2815D77D" w:rsidR="004207B7" w:rsidRDefault="004207B7" w:rsidP="004207B7">
      <w:pPr>
        <w:rPr>
          <w:color w:val="0D0D0D" w:themeColor="text1" w:themeTint="F2"/>
        </w:rPr>
      </w:pPr>
    </w:p>
    <w:p w14:paraId="68F8B185" w14:textId="25A5D27D" w:rsidR="004207B7" w:rsidRDefault="004207B7" w:rsidP="004207B7">
      <w:pPr>
        <w:rPr>
          <w:b/>
          <w:bCs/>
          <w:color w:val="818C96"/>
          <w:szCs w:val="22"/>
        </w:rPr>
      </w:pPr>
      <w:r w:rsidRPr="004207B7">
        <w:rPr>
          <w:b/>
          <w:bCs/>
          <w:color w:val="818C96"/>
          <w:szCs w:val="22"/>
        </w:rPr>
        <w:t xml:space="preserve">SME </w:t>
      </w:r>
      <w:r w:rsidR="007367C9">
        <w:rPr>
          <w:b/>
          <w:bCs/>
          <w:color w:val="818C96"/>
          <w:szCs w:val="22"/>
        </w:rPr>
        <w:t xml:space="preserve">member </w:t>
      </w:r>
      <w:r w:rsidRPr="004207B7">
        <w:rPr>
          <w:b/>
          <w:bCs/>
          <w:color w:val="818C96"/>
          <w:szCs w:val="22"/>
        </w:rPr>
        <w:t>of the year</w:t>
      </w:r>
    </w:p>
    <w:p w14:paraId="5E8C6E03" w14:textId="4C654A59" w:rsidR="007367C9" w:rsidRDefault="007367C9" w:rsidP="004207B7">
      <w:pPr>
        <w:rPr>
          <w:b/>
          <w:bCs/>
          <w:color w:val="818C96"/>
          <w:szCs w:val="22"/>
        </w:rPr>
      </w:pPr>
    </w:p>
    <w:p w14:paraId="49934830" w14:textId="19FD42EA" w:rsidR="0071583C" w:rsidRPr="00EA2CA1" w:rsidRDefault="00616B16" w:rsidP="0071583C">
      <w:pPr>
        <w:rPr>
          <w:color w:val="0D0D0D" w:themeColor="text1" w:themeTint="F2"/>
          <w:szCs w:val="22"/>
        </w:rPr>
      </w:pPr>
      <w:r w:rsidRPr="00EA2CA1">
        <w:rPr>
          <w:color w:val="0D0D0D" w:themeColor="text1" w:themeTint="F2"/>
          <w:szCs w:val="22"/>
        </w:rPr>
        <w:t>Small and medium enterprises showing marked success over the last year will be recognised in this award category.</w:t>
      </w:r>
      <w:r w:rsidR="00144DE6" w:rsidRPr="00EA2CA1">
        <w:rPr>
          <w:color w:val="0D0D0D" w:themeColor="text1" w:themeTint="F2"/>
          <w:szCs w:val="22"/>
        </w:rPr>
        <w:t xml:space="preserve"> Members of British Glass with </w:t>
      </w:r>
      <w:r w:rsidR="002937AD" w:rsidRPr="00EA2CA1">
        <w:rPr>
          <w:color w:val="0D0D0D" w:themeColor="text1" w:themeTint="F2"/>
          <w:szCs w:val="22"/>
        </w:rPr>
        <w:t xml:space="preserve">fewer than 250 employees are </w:t>
      </w:r>
      <w:r w:rsidR="006B2809" w:rsidRPr="00EA2CA1">
        <w:rPr>
          <w:color w:val="0D0D0D" w:themeColor="text1" w:themeTint="F2"/>
          <w:szCs w:val="22"/>
        </w:rPr>
        <w:t>eligible</w:t>
      </w:r>
      <w:r w:rsidR="002937AD" w:rsidRPr="00EA2CA1">
        <w:rPr>
          <w:color w:val="0D0D0D" w:themeColor="text1" w:themeTint="F2"/>
          <w:szCs w:val="22"/>
        </w:rPr>
        <w:t xml:space="preserve"> to enter this category</w:t>
      </w:r>
      <w:r w:rsidR="006B2809" w:rsidRPr="00EA2CA1">
        <w:rPr>
          <w:color w:val="0D0D0D" w:themeColor="text1" w:themeTint="F2"/>
          <w:szCs w:val="22"/>
        </w:rPr>
        <w:t xml:space="preserve"> </w:t>
      </w:r>
      <w:r w:rsidR="00124299" w:rsidRPr="00EA2CA1">
        <w:rPr>
          <w:color w:val="0D0D0D" w:themeColor="text1" w:themeTint="F2"/>
          <w:szCs w:val="22"/>
        </w:rPr>
        <w:t xml:space="preserve">and winning entries </w:t>
      </w:r>
      <w:r w:rsidR="0071583C" w:rsidRPr="00EA2CA1">
        <w:rPr>
          <w:color w:val="0D0D0D" w:themeColor="text1" w:themeTint="F2"/>
          <w:szCs w:val="22"/>
        </w:rPr>
        <w:t xml:space="preserve">can include – but are not limited to – collaborations, partnerships, investments, new products, </w:t>
      </w:r>
      <w:proofErr w:type="gramStart"/>
      <w:r w:rsidR="0071583C" w:rsidRPr="00EA2CA1">
        <w:rPr>
          <w:color w:val="0D0D0D" w:themeColor="text1" w:themeTint="F2"/>
          <w:szCs w:val="22"/>
        </w:rPr>
        <w:t>innovations</w:t>
      </w:r>
      <w:proofErr w:type="gramEnd"/>
      <w:r w:rsidR="0071583C" w:rsidRPr="00EA2CA1">
        <w:rPr>
          <w:color w:val="0D0D0D" w:themeColor="text1" w:themeTint="F2"/>
          <w:szCs w:val="22"/>
        </w:rPr>
        <w:t xml:space="preserve"> or the handling of the pandemic.</w:t>
      </w:r>
    </w:p>
    <w:p w14:paraId="577B381A" w14:textId="77777777" w:rsidR="00DF491D" w:rsidRDefault="00DF491D" w:rsidP="00394893">
      <w:pPr>
        <w:rPr>
          <w:color w:val="0D0D0D" w:themeColor="text1" w:themeTint="F2"/>
          <w:szCs w:val="22"/>
        </w:rPr>
      </w:pPr>
    </w:p>
    <w:p w14:paraId="5A78D392" w14:textId="77777777" w:rsidR="00E26200" w:rsidRPr="00E26200" w:rsidRDefault="00E26200" w:rsidP="00394893">
      <w:pPr>
        <w:rPr>
          <w:b/>
          <w:bCs/>
          <w:color w:val="818C96"/>
          <w:szCs w:val="22"/>
        </w:rPr>
      </w:pPr>
    </w:p>
    <w:p w14:paraId="7012253C" w14:textId="5E3CB857" w:rsidR="004C6692" w:rsidRPr="00E26200" w:rsidRDefault="00DF491D" w:rsidP="00394893">
      <w:pPr>
        <w:rPr>
          <w:b/>
          <w:bCs/>
          <w:color w:val="818C96"/>
          <w:szCs w:val="22"/>
        </w:rPr>
      </w:pPr>
      <w:r w:rsidRPr="00E26200">
        <w:rPr>
          <w:b/>
          <w:bCs/>
          <w:color w:val="818C96"/>
          <w:szCs w:val="22"/>
        </w:rPr>
        <w:t xml:space="preserve">British Glass </w:t>
      </w:r>
      <w:r w:rsidRPr="00E26200">
        <w:rPr>
          <w:b/>
          <w:bCs/>
          <w:i/>
          <w:iCs/>
          <w:color w:val="818C96"/>
          <w:szCs w:val="22"/>
        </w:rPr>
        <w:t>Company of the year</w:t>
      </w:r>
    </w:p>
    <w:p w14:paraId="5F82D190" w14:textId="77777777" w:rsidR="00394893" w:rsidRPr="00394893" w:rsidRDefault="00394893" w:rsidP="00394893">
      <w:pPr>
        <w:rPr>
          <w:b/>
          <w:bCs/>
          <w:i/>
          <w:iCs/>
          <w:color w:val="818C96"/>
          <w:szCs w:val="22"/>
        </w:rPr>
      </w:pPr>
    </w:p>
    <w:p w14:paraId="03EAA7B0" w14:textId="72B3FAE0" w:rsidR="00394893" w:rsidRDefault="00394893" w:rsidP="00394893">
      <w:pPr>
        <w:rPr>
          <w:color w:val="0D0D0D" w:themeColor="text1" w:themeTint="F2"/>
          <w:szCs w:val="22"/>
        </w:rPr>
      </w:pPr>
      <w:r w:rsidRPr="00394893">
        <w:rPr>
          <w:color w:val="0D0D0D" w:themeColor="text1" w:themeTint="F2"/>
          <w:szCs w:val="22"/>
        </w:rPr>
        <w:t>All British Glass members entering any category will be put forward for the title of British Glass Company of the year.</w:t>
      </w:r>
    </w:p>
    <w:p w14:paraId="7DAC5EA1" w14:textId="77777777" w:rsidR="00CB7DBA" w:rsidRPr="00394893" w:rsidRDefault="00CB7DBA" w:rsidP="00394893">
      <w:pPr>
        <w:rPr>
          <w:color w:val="0D0D0D" w:themeColor="text1" w:themeTint="F2"/>
          <w:szCs w:val="22"/>
        </w:rPr>
      </w:pPr>
    </w:p>
    <w:p w14:paraId="71EB9DE4" w14:textId="5C2FC1A2" w:rsidR="00394893" w:rsidRDefault="00394893" w:rsidP="00394893">
      <w:pPr>
        <w:rPr>
          <w:color w:val="0D0D0D" w:themeColor="text1" w:themeTint="F2"/>
          <w:szCs w:val="22"/>
        </w:rPr>
      </w:pPr>
      <w:r w:rsidRPr="00394893">
        <w:rPr>
          <w:color w:val="0D0D0D" w:themeColor="text1" w:themeTint="F2"/>
          <w:szCs w:val="22"/>
        </w:rPr>
        <w:t>The company of the year will be awarded to a British Glass member based on their award entries, engagement in British glass activities and committees, attendance of British Glass events and overall impact of the company of the glass industry and its reputation.</w:t>
      </w:r>
    </w:p>
    <w:p w14:paraId="2DE2EDD7" w14:textId="45B2030E" w:rsidR="00394893" w:rsidRDefault="00394893" w:rsidP="00394893">
      <w:pPr>
        <w:rPr>
          <w:color w:val="0D0D0D" w:themeColor="text1" w:themeTint="F2"/>
          <w:szCs w:val="22"/>
        </w:rPr>
      </w:pPr>
    </w:p>
    <w:p w14:paraId="592C0DE5" w14:textId="7F1397D2" w:rsidR="00BF7C8C" w:rsidRDefault="00BF7C8C" w:rsidP="00394893">
      <w:pPr>
        <w:rPr>
          <w:color w:val="0D0D0D" w:themeColor="text1" w:themeTint="F2"/>
          <w:szCs w:val="22"/>
        </w:rPr>
      </w:pPr>
    </w:p>
    <w:p w14:paraId="2DB444F5" w14:textId="77C6339B" w:rsidR="00CB7DBA" w:rsidRDefault="00CB7DBA" w:rsidP="00394893">
      <w:pPr>
        <w:rPr>
          <w:color w:val="0D0D0D" w:themeColor="text1" w:themeTint="F2"/>
          <w:szCs w:val="22"/>
        </w:rPr>
      </w:pPr>
    </w:p>
    <w:p w14:paraId="09B6C1E4" w14:textId="4338EF9D" w:rsidR="00CB7DBA" w:rsidRDefault="00CB7DBA" w:rsidP="00394893">
      <w:pPr>
        <w:rPr>
          <w:color w:val="0D0D0D" w:themeColor="text1" w:themeTint="F2"/>
          <w:szCs w:val="22"/>
        </w:rPr>
      </w:pPr>
    </w:p>
    <w:p w14:paraId="7A4D452E" w14:textId="0163EC2D" w:rsidR="00CB7DBA" w:rsidRDefault="00CB7DBA" w:rsidP="00394893">
      <w:pPr>
        <w:rPr>
          <w:color w:val="0D0D0D" w:themeColor="text1" w:themeTint="F2"/>
          <w:szCs w:val="22"/>
        </w:rPr>
      </w:pPr>
    </w:p>
    <w:p w14:paraId="71683490" w14:textId="45B57DB0" w:rsidR="00CB7DBA" w:rsidRDefault="00CB7DBA" w:rsidP="00394893">
      <w:pPr>
        <w:rPr>
          <w:color w:val="0D0D0D" w:themeColor="text1" w:themeTint="F2"/>
          <w:szCs w:val="22"/>
        </w:rPr>
      </w:pPr>
    </w:p>
    <w:p w14:paraId="5EA3943D" w14:textId="447AD70E" w:rsidR="00CB7DBA" w:rsidRDefault="00CB7DBA" w:rsidP="00394893">
      <w:pPr>
        <w:rPr>
          <w:color w:val="0D0D0D" w:themeColor="text1" w:themeTint="F2"/>
          <w:szCs w:val="22"/>
        </w:rPr>
      </w:pPr>
    </w:p>
    <w:p w14:paraId="37990755" w14:textId="04BB1A27" w:rsidR="00CB7DBA" w:rsidRDefault="00CB7DBA" w:rsidP="00394893">
      <w:pPr>
        <w:rPr>
          <w:color w:val="0D0D0D" w:themeColor="text1" w:themeTint="F2"/>
          <w:szCs w:val="22"/>
        </w:rPr>
      </w:pPr>
    </w:p>
    <w:p w14:paraId="18E70E95" w14:textId="73271762" w:rsidR="00CB7DBA" w:rsidRDefault="00CB7DBA" w:rsidP="00394893">
      <w:pPr>
        <w:rPr>
          <w:color w:val="0D0D0D" w:themeColor="text1" w:themeTint="F2"/>
          <w:szCs w:val="22"/>
        </w:rPr>
      </w:pPr>
    </w:p>
    <w:p w14:paraId="3DB8FFB7" w14:textId="7D36E5B8" w:rsidR="00CB7DBA" w:rsidRDefault="00CB7DBA" w:rsidP="00394893">
      <w:pPr>
        <w:rPr>
          <w:color w:val="0D0D0D" w:themeColor="text1" w:themeTint="F2"/>
          <w:szCs w:val="22"/>
        </w:rPr>
      </w:pPr>
    </w:p>
    <w:p w14:paraId="08FA933E" w14:textId="77777777" w:rsidR="00CB7DBA" w:rsidRDefault="00CB7DBA" w:rsidP="00BF7C8C">
      <w:pPr>
        <w:pStyle w:val="Title"/>
      </w:pPr>
    </w:p>
    <w:p w14:paraId="3A233D29" w14:textId="58B73F0C" w:rsidR="00BF7C8C" w:rsidRDefault="00BF7C8C" w:rsidP="00BF7C8C">
      <w:pPr>
        <w:pStyle w:val="Title"/>
      </w:pPr>
      <w:r w:rsidRPr="00BF7C8C">
        <w:lastRenderedPageBreak/>
        <w:t xml:space="preserve">Terms and conditions </w:t>
      </w:r>
    </w:p>
    <w:p w14:paraId="54C024C6" w14:textId="2053C909" w:rsidR="00BF7C8C" w:rsidRDefault="00BF7C8C" w:rsidP="00BF7C8C"/>
    <w:p w14:paraId="398A1A70" w14:textId="77777777" w:rsidR="00BF7C8C" w:rsidRPr="0049603F" w:rsidRDefault="00BF7C8C" w:rsidP="00BF7C8C">
      <w:pPr>
        <w:spacing w:line="264" w:lineRule="auto"/>
        <w:contextualSpacing/>
        <w:rPr>
          <w:rFonts w:ascii="Calibri" w:hAnsi="Calibri"/>
          <w:color w:val="404040" w:themeColor="text1" w:themeTint="BF"/>
        </w:rPr>
      </w:pPr>
      <w:r w:rsidRPr="0049603F">
        <w:rPr>
          <w:rFonts w:ascii="Calibri" w:hAnsi="Calibri"/>
          <w:color w:val="404040" w:themeColor="text1" w:themeTint="BF"/>
        </w:rPr>
        <w:t>By entering for an award entrants will be deemed to have accepted the terms and conditions and to have agreed to be bound by them.</w:t>
      </w:r>
    </w:p>
    <w:p w14:paraId="022513C8" w14:textId="77777777" w:rsidR="00BF7C8C" w:rsidRDefault="00BF7C8C" w:rsidP="00BF7C8C">
      <w:pPr>
        <w:pStyle w:val="Heading2"/>
      </w:pPr>
    </w:p>
    <w:p w14:paraId="63749202" w14:textId="77777777" w:rsidR="00BF7C8C" w:rsidRPr="00BF7C8C" w:rsidRDefault="00BF7C8C" w:rsidP="00BF7C8C">
      <w:pPr>
        <w:rPr>
          <w:b/>
          <w:bCs/>
          <w:color w:val="818C96"/>
          <w:szCs w:val="22"/>
        </w:rPr>
      </w:pPr>
      <w:r w:rsidRPr="00BF7C8C">
        <w:rPr>
          <w:b/>
          <w:bCs/>
          <w:color w:val="818C96"/>
          <w:szCs w:val="22"/>
        </w:rPr>
        <w:t xml:space="preserve">Publicity </w:t>
      </w:r>
    </w:p>
    <w:p w14:paraId="0A1232F8" w14:textId="3F225EC8"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 xml:space="preserve">Entrant </w:t>
      </w:r>
      <w:proofErr w:type="spellStart"/>
      <w:r w:rsidRPr="0049603F">
        <w:rPr>
          <w:rFonts w:ascii="Calibri" w:hAnsi="Calibri"/>
          <w:color w:val="404040" w:themeColor="text1" w:themeTint="BF"/>
        </w:rPr>
        <w:t>organisations</w:t>
      </w:r>
      <w:proofErr w:type="spellEnd"/>
      <w:r w:rsidRPr="0049603F">
        <w:rPr>
          <w:rFonts w:ascii="Calibri" w:hAnsi="Calibri"/>
          <w:color w:val="404040" w:themeColor="text1" w:themeTint="BF"/>
        </w:rPr>
        <w:t xml:space="preserve"> agree to their name being published in connection with the competition and agree that British Glass and its partners may disclose this information in their publicity online and in print, via any media.</w:t>
      </w:r>
    </w:p>
    <w:p w14:paraId="773A0F36" w14:textId="77777777"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 xml:space="preserve">Images submitted as part of entries, including photos, document covers, web pages </w:t>
      </w:r>
      <w:proofErr w:type="spellStart"/>
      <w:r w:rsidRPr="0049603F">
        <w:rPr>
          <w:rFonts w:ascii="Calibri" w:hAnsi="Calibri"/>
          <w:color w:val="404040" w:themeColor="text1" w:themeTint="BF"/>
        </w:rPr>
        <w:t>etc</w:t>
      </w:r>
      <w:proofErr w:type="spellEnd"/>
      <w:r w:rsidRPr="0049603F">
        <w:rPr>
          <w:rFonts w:ascii="Calibri" w:hAnsi="Calibri"/>
          <w:color w:val="404040" w:themeColor="text1" w:themeTint="BF"/>
        </w:rPr>
        <w:t xml:space="preserve"> may be used in connection with the awards presentation event and promotion (except where clearly marked CONFIDENTIAL – see below) and should be free from copyright or other restrictions on reproduction. </w:t>
      </w:r>
    </w:p>
    <w:p w14:paraId="09667086" w14:textId="77777777"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Entrants and winners should be willing to cooperate in promotion activity and PR surrounding the awards, including but not limited to providing spokesperson(s) to give quotes and be photographed before, during and after the awards event.</w:t>
      </w:r>
    </w:p>
    <w:p w14:paraId="39F7795B" w14:textId="77777777" w:rsidR="00BF7C8C" w:rsidRPr="00BF7C8C" w:rsidRDefault="00BF7C8C" w:rsidP="00BF7C8C">
      <w:pPr>
        <w:rPr>
          <w:b/>
          <w:bCs/>
          <w:color w:val="818C96"/>
          <w:szCs w:val="22"/>
        </w:rPr>
      </w:pPr>
      <w:r w:rsidRPr="00BF7C8C">
        <w:rPr>
          <w:b/>
          <w:bCs/>
          <w:color w:val="818C96"/>
          <w:szCs w:val="22"/>
        </w:rPr>
        <w:t xml:space="preserve">Data Protection </w:t>
      </w:r>
    </w:p>
    <w:p w14:paraId="65F76622" w14:textId="77777777" w:rsidR="00BF7C8C" w:rsidRPr="000F0F2C" w:rsidRDefault="00BF7C8C" w:rsidP="00BF7C8C">
      <w:pPr>
        <w:pStyle w:val="BulletPoints"/>
        <w:numPr>
          <w:ilvl w:val="0"/>
          <w:numId w:val="0"/>
        </w:numPr>
        <w:spacing w:before="240" w:line="264" w:lineRule="auto"/>
        <w:rPr>
          <w:rFonts w:ascii="Calibri" w:hAnsi="Calibri"/>
          <w:color w:val="404040" w:themeColor="text1" w:themeTint="BF"/>
        </w:rPr>
      </w:pPr>
      <w:r w:rsidRPr="000F0F2C">
        <w:rPr>
          <w:rFonts w:ascii="Calibri" w:hAnsi="Calibri"/>
          <w:color w:val="404040" w:themeColor="text1" w:themeTint="BF"/>
        </w:rPr>
        <w:t xml:space="preserve">Data collected with entries will be stored in line with the British Glass privacy policy, which can be found on our website. </w:t>
      </w:r>
    </w:p>
    <w:p w14:paraId="5F160A87" w14:textId="77777777" w:rsidR="00BF7C8C" w:rsidRPr="00BF7C8C" w:rsidRDefault="00BF7C8C" w:rsidP="00BF7C8C">
      <w:pPr>
        <w:rPr>
          <w:b/>
          <w:bCs/>
          <w:color w:val="818C96"/>
          <w:szCs w:val="22"/>
        </w:rPr>
      </w:pPr>
      <w:r w:rsidRPr="00BF7C8C">
        <w:rPr>
          <w:b/>
          <w:bCs/>
          <w:color w:val="818C96"/>
          <w:szCs w:val="22"/>
        </w:rPr>
        <w:t xml:space="preserve">Confidentiality </w:t>
      </w:r>
    </w:p>
    <w:p w14:paraId="6B9ED7A0" w14:textId="77777777" w:rsidR="00BF7C8C" w:rsidRPr="0049603F" w:rsidRDefault="00BF7C8C" w:rsidP="00BF7C8C">
      <w:pPr>
        <w:pStyle w:val="BulletPoints"/>
        <w:numPr>
          <w:ilvl w:val="0"/>
          <w:numId w:val="0"/>
        </w:numPr>
        <w:spacing w:before="240" w:line="264" w:lineRule="auto"/>
        <w:rPr>
          <w:rFonts w:ascii="Calibri" w:hAnsi="Calibri"/>
          <w:color w:val="404040" w:themeColor="text1" w:themeTint="BF"/>
        </w:rPr>
      </w:pPr>
      <w:r w:rsidRPr="0049603F">
        <w:rPr>
          <w:rFonts w:ascii="Calibri" w:hAnsi="Calibri"/>
          <w:color w:val="404040" w:themeColor="text1" w:themeTint="BF"/>
        </w:rPr>
        <w:t xml:space="preserve">We </w:t>
      </w:r>
      <w:proofErr w:type="spellStart"/>
      <w:r w:rsidRPr="0049603F">
        <w:rPr>
          <w:rFonts w:ascii="Calibri" w:hAnsi="Calibri"/>
          <w:color w:val="404040" w:themeColor="text1" w:themeTint="BF"/>
        </w:rPr>
        <w:t>recognise</w:t>
      </w:r>
      <w:proofErr w:type="spellEnd"/>
      <w:r w:rsidRPr="0049603F">
        <w:rPr>
          <w:rFonts w:ascii="Calibri" w:hAnsi="Calibri"/>
          <w:color w:val="404040" w:themeColor="text1" w:themeTint="BF"/>
        </w:rPr>
        <w:t xml:space="preserve"> </w:t>
      </w:r>
      <w:r>
        <w:rPr>
          <w:rFonts w:ascii="Calibri" w:hAnsi="Calibri"/>
          <w:color w:val="404040" w:themeColor="text1" w:themeTint="BF"/>
        </w:rPr>
        <w:t xml:space="preserve">that </w:t>
      </w:r>
      <w:r w:rsidRPr="0049603F">
        <w:rPr>
          <w:rFonts w:ascii="Calibri" w:hAnsi="Calibri"/>
          <w:color w:val="404040" w:themeColor="text1" w:themeTint="BF"/>
        </w:rPr>
        <w:t xml:space="preserve">some information submitted as part of entries may be of a sensitive or confidential nature. British Glass undertakes to try to ensure that, where information is indicated to be confidential, it is not disclosed beyond the judging panel and British Glass staff administering the awards. Please ensure any sections of </w:t>
      </w:r>
      <w:proofErr w:type="gramStart"/>
      <w:r w:rsidRPr="0049603F">
        <w:rPr>
          <w:rFonts w:ascii="Calibri" w:hAnsi="Calibri"/>
          <w:color w:val="404040" w:themeColor="text1" w:themeTint="BF"/>
        </w:rPr>
        <w:t>you</w:t>
      </w:r>
      <w:proofErr w:type="gramEnd"/>
      <w:r w:rsidRPr="0049603F">
        <w:rPr>
          <w:rFonts w:ascii="Calibri" w:hAnsi="Calibri"/>
          <w:color w:val="404040" w:themeColor="text1" w:themeTint="BF"/>
        </w:rPr>
        <w:t xml:space="preserve"> entry which are confidential are clearly marked as such.</w:t>
      </w:r>
    </w:p>
    <w:p w14:paraId="47C2F542" w14:textId="77777777" w:rsidR="00BF7C8C" w:rsidRPr="00BF7C8C" w:rsidRDefault="00BF7C8C" w:rsidP="00BF7C8C">
      <w:pPr>
        <w:rPr>
          <w:b/>
          <w:bCs/>
          <w:color w:val="818C96"/>
          <w:szCs w:val="22"/>
        </w:rPr>
      </w:pPr>
      <w:r w:rsidRPr="00BF7C8C">
        <w:rPr>
          <w:b/>
          <w:bCs/>
          <w:color w:val="818C96"/>
          <w:szCs w:val="22"/>
        </w:rPr>
        <w:t>Judging</w:t>
      </w:r>
    </w:p>
    <w:p w14:paraId="1D47C09E" w14:textId="77777777" w:rsidR="00BF7C8C" w:rsidRDefault="00BF7C8C" w:rsidP="00BF7C8C">
      <w:pPr>
        <w:pStyle w:val="BulletPoints"/>
        <w:numPr>
          <w:ilvl w:val="0"/>
          <w:numId w:val="1"/>
        </w:numPr>
        <w:spacing w:before="240" w:line="264" w:lineRule="auto"/>
        <w:rPr>
          <w:rFonts w:ascii="Calibri" w:hAnsi="Calibri"/>
          <w:color w:val="404040" w:themeColor="text1" w:themeTint="BF"/>
        </w:rPr>
      </w:pPr>
      <w:r>
        <w:rPr>
          <w:rFonts w:ascii="Calibri" w:hAnsi="Calibri"/>
          <w:color w:val="404040" w:themeColor="text1" w:themeTint="BF"/>
        </w:rPr>
        <w:t xml:space="preserve">All entries will be </w:t>
      </w:r>
      <w:r w:rsidRPr="00BF7C8C">
        <w:rPr>
          <w:rFonts w:ascii="Calibri" w:hAnsi="Calibri"/>
          <w:color w:val="404040" w:themeColor="text1" w:themeTint="BF"/>
          <w:lang w:val="en-GB"/>
        </w:rPr>
        <w:t>anonymised</w:t>
      </w:r>
      <w:r>
        <w:rPr>
          <w:rFonts w:ascii="Calibri" w:hAnsi="Calibri"/>
          <w:color w:val="404040" w:themeColor="text1" w:themeTint="BF"/>
        </w:rPr>
        <w:t xml:space="preserve"> before reaching the judges.</w:t>
      </w:r>
    </w:p>
    <w:p w14:paraId="64B5267E" w14:textId="6C1220BF"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 xml:space="preserve">One winner will be chosen in each category. The decision of the judging panel is final, and no correspondence will be </w:t>
      </w:r>
      <w:proofErr w:type="gramStart"/>
      <w:r w:rsidRPr="0049603F">
        <w:rPr>
          <w:rFonts w:ascii="Calibri" w:hAnsi="Calibri"/>
          <w:color w:val="404040" w:themeColor="text1" w:themeTint="BF"/>
        </w:rPr>
        <w:t>entered into</w:t>
      </w:r>
      <w:proofErr w:type="gramEnd"/>
      <w:r w:rsidRPr="0049603F">
        <w:rPr>
          <w:rFonts w:ascii="Calibri" w:hAnsi="Calibri"/>
          <w:color w:val="404040" w:themeColor="text1" w:themeTint="BF"/>
        </w:rPr>
        <w:t xml:space="preserve">. </w:t>
      </w:r>
    </w:p>
    <w:p w14:paraId="1492995A" w14:textId="77777777"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The judges reserve the right to move an entry from one category to another.</w:t>
      </w:r>
    </w:p>
    <w:p w14:paraId="5711C28C" w14:textId="1AF41BED"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The winners will be announced at the Glass Focus 20</w:t>
      </w:r>
      <w:r w:rsidR="00D81FC5">
        <w:rPr>
          <w:rFonts w:ascii="Calibri" w:hAnsi="Calibri"/>
          <w:color w:val="404040" w:themeColor="text1" w:themeTint="BF"/>
        </w:rPr>
        <w:t>21</w:t>
      </w:r>
      <w:r w:rsidRPr="0049603F">
        <w:rPr>
          <w:rFonts w:ascii="Calibri" w:hAnsi="Calibri"/>
          <w:color w:val="404040" w:themeColor="text1" w:themeTint="BF"/>
        </w:rPr>
        <w:t xml:space="preserve"> </w:t>
      </w:r>
      <w:r>
        <w:rPr>
          <w:rFonts w:ascii="Calibri" w:hAnsi="Calibri"/>
          <w:color w:val="404040" w:themeColor="text1" w:themeTint="BF"/>
        </w:rPr>
        <w:t xml:space="preserve">awards </w:t>
      </w:r>
      <w:r w:rsidRPr="0049603F">
        <w:rPr>
          <w:rFonts w:ascii="Calibri" w:hAnsi="Calibri"/>
          <w:color w:val="404040" w:themeColor="text1" w:themeTint="BF"/>
        </w:rPr>
        <w:t xml:space="preserve">dinner on Thursday </w:t>
      </w:r>
      <w:r w:rsidR="00D81FC5">
        <w:rPr>
          <w:rFonts w:ascii="Calibri" w:hAnsi="Calibri"/>
          <w:color w:val="404040" w:themeColor="text1" w:themeTint="BF"/>
        </w:rPr>
        <w:t xml:space="preserve">18 </w:t>
      </w:r>
      <w:r>
        <w:rPr>
          <w:rFonts w:ascii="Calibri" w:hAnsi="Calibri"/>
          <w:color w:val="404040" w:themeColor="text1" w:themeTint="BF"/>
        </w:rPr>
        <w:t xml:space="preserve">November </w:t>
      </w:r>
      <w:r w:rsidRPr="0049603F">
        <w:rPr>
          <w:rFonts w:ascii="Calibri" w:hAnsi="Calibri"/>
          <w:color w:val="404040" w:themeColor="text1" w:themeTint="BF"/>
        </w:rPr>
        <w:t>20</w:t>
      </w:r>
      <w:r w:rsidR="00D81FC5">
        <w:rPr>
          <w:rFonts w:ascii="Calibri" w:hAnsi="Calibri"/>
          <w:color w:val="404040" w:themeColor="text1" w:themeTint="BF"/>
        </w:rPr>
        <w:t>21</w:t>
      </w:r>
      <w:r w:rsidRPr="0049603F">
        <w:rPr>
          <w:rFonts w:ascii="Calibri" w:hAnsi="Calibri"/>
          <w:color w:val="404040" w:themeColor="text1" w:themeTint="BF"/>
        </w:rPr>
        <w:t xml:space="preserve">. No information regarding the winners will be given out prior to the event.  </w:t>
      </w:r>
    </w:p>
    <w:p w14:paraId="5F615F2E" w14:textId="77777777" w:rsidR="00BF7C8C" w:rsidRPr="0049603F" w:rsidRDefault="00BF7C8C" w:rsidP="00BF7C8C">
      <w:pPr>
        <w:pStyle w:val="BulletPoints"/>
        <w:numPr>
          <w:ilvl w:val="0"/>
          <w:numId w:val="1"/>
        </w:numPr>
        <w:spacing w:before="240" w:line="264" w:lineRule="auto"/>
        <w:rPr>
          <w:rFonts w:ascii="Calibri" w:hAnsi="Calibri"/>
          <w:color w:val="404040" w:themeColor="text1" w:themeTint="BF"/>
        </w:rPr>
      </w:pPr>
      <w:r w:rsidRPr="0049603F">
        <w:rPr>
          <w:rFonts w:ascii="Calibri" w:hAnsi="Calibri"/>
          <w:color w:val="404040" w:themeColor="text1" w:themeTint="BF"/>
        </w:rPr>
        <w:t xml:space="preserve">Winners will also be displayed on the British Glass website and reported via a range of </w:t>
      </w:r>
      <w:proofErr w:type="gramStart"/>
      <w:r w:rsidRPr="0049603F">
        <w:rPr>
          <w:rFonts w:ascii="Calibri" w:hAnsi="Calibri"/>
          <w:color w:val="404040" w:themeColor="text1" w:themeTint="BF"/>
        </w:rPr>
        <w:t>third party</w:t>
      </w:r>
      <w:proofErr w:type="gramEnd"/>
      <w:r w:rsidRPr="0049603F">
        <w:rPr>
          <w:rFonts w:ascii="Calibri" w:hAnsi="Calibri"/>
          <w:color w:val="404040" w:themeColor="text1" w:themeTint="BF"/>
        </w:rPr>
        <w:t xml:space="preserve"> publications and websites.</w:t>
      </w:r>
    </w:p>
    <w:p w14:paraId="16F8E6E2" w14:textId="77777777" w:rsidR="00CB7DBA" w:rsidRDefault="00BF7C8C" w:rsidP="00BF7C8C">
      <w:pPr>
        <w:spacing w:line="264" w:lineRule="auto"/>
        <w:contextualSpacing/>
        <w:rPr>
          <w:color w:val="404040" w:themeColor="text1" w:themeTint="BF"/>
        </w:rPr>
      </w:pPr>
      <w:r w:rsidRPr="0049603F">
        <w:rPr>
          <w:rFonts w:ascii="Calibri" w:hAnsi="Calibri"/>
          <w:color w:val="404040" w:themeColor="text1" w:themeTint="BF"/>
        </w:rPr>
        <w:t>If you have any questions about submitting an entry, or about the Glass Focus 20</w:t>
      </w:r>
      <w:r w:rsidR="00D81FC5">
        <w:rPr>
          <w:rFonts w:ascii="Calibri" w:hAnsi="Calibri"/>
          <w:color w:val="404040" w:themeColor="text1" w:themeTint="BF"/>
        </w:rPr>
        <w:t>21</w:t>
      </w:r>
      <w:r w:rsidRPr="0049603F">
        <w:rPr>
          <w:rFonts w:ascii="Calibri" w:hAnsi="Calibri"/>
          <w:color w:val="404040" w:themeColor="text1" w:themeTint="BF"/>
        </w:rPr>
        <w:t xml:space="preserve"> event, please email </w:t>
      </w:r>
      <w:hyperlink r:id="rId10" w:history="1">
        <w:r w:rsidRPr="00CB7DBA">
          <w:rPr>
            <w:color w:val="009ABF" w:themeColor="accent2"/>
          </w:rPr>
          <w:t>glassfocus@britglass.co.uk</w:t>
        </w:r>
      </w:hyperlink>
    </w:p>
    <w:p w14:paraId="0E6395C7" w14:textId="1ABB1A9E" w:rsidR="00394893" w:rsidRPr="002F35FE" w:rsidRDefault="00BF7C8C" w:rsidP="00BF7C8C">
      <w:pPr>
        <w:spacing w:line="264" w:lineRule="auto"/>
        <w:contextualSpacing/>
        <w:rPr>
          <w:color w:val="0D0D0D" w:themeColor="text1" w:themeTint="F2"/>
          <w:szCs w:val="22"/>
        </w:rPr>
      </w:pPr>
      <w:r w:rsidRPr="00BF7C8C">
        <w:rPr>
          <w:rFonts w:ascii="Calibri" w:hAnsi="Calibri"/>
          <w:color w:val="404040" w:themeColor="text1" w:themeTint="BF"/>
        </w:rPr>
        <w:t xml:space="preserve"> </w:t>
      </w:r>
    </w:p>
    <w:sectPr w:rsidR="00394893" w:rsidRPr="002F35FE" w:rsidSect="002F35FE">
      <w:footerReference w:type="default" r:id="rId11"/>
      <w:headerReference w:type="first" r:id="rId12"/>
      <w:footerReference w:type="first" r:id="rId13"/>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234" w14:textId="77777777" w:rsidR="001E03B5" w:rsidRDefault="001E03B5" w:rsidP="000129B8">
      <w:r>
        <w:separator/>
      </w:r>
    </w:p>
  </w:endnote>
  <w:endnote w:type="continuationSeparator" w:id="0">
    <w:p w14:paraId="71772B2F" w14:textId="77777777" w:rsidR="001E03B5" w:rsidRDefault="001E03B5" w:rsidP="000129B8">
      <w:r>
        <w:continuationSeparator/>
      </w:r>
    </w:p>
  </w:endnote>
  <w:endnote w:type="continuationNotice" w:id="1">
    <w:p w14:paraId="0D1B47F7" w14:textId="77777777" w:rsidR="001E03B5" w:rsidRDefault="001E0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7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78714"/>
      <w:docPartObj>
        <w:docPartGallery w:val="Page Numbers (Bottom of Page)"/>
        <w:docPartUnique/>
      </w:docPartObj>
    </w:sdtPr>
    <w:sdtEndPr>
      <w:rPr>
        <w:noProof/>
        <w:sz w:val="20"/>
      </w:rPr>
    </w:sdtEndPr>
    <w:sdtContent>
      <w:p w14:paraId="707E29E3" w14:textId="77777777" w:rsidR="003D49D3" w:rsidRPr="003D49D3" w:rsidRDefault="003D49D3">
        <w:pPr>
          <w:pStyle w:val="Footer"/>
          <w:jc w:val="center"/>
          <w:rPr>
            <w:sz w:val="20"/>
          </w:rPr>
        </w:pPr>
        <w:r w:rsidRPr="003D49D3">
          <w:rPr>
            <w:sz w:val="20"/>
          </w:rPr>
          <w:fldChar w:fldCharType="begin"/>
        </w:r>
        <w:r w:rsidRPr="003D49D3">
          <w:rPr>
            <w:sz w:val="20"/>
          </w:rPr>
          <w:instrText xml:space="preserve"> PAGE   \* MERGEFORMAT </w:instrText>
        </w:r>
        <w:r w:rsidRPr="003D49D3">
          <w:rPr>
            <w:sz w:val="20"/>
          </w:rPr>
          <w:fldChar w:fldCharType="separate"/>
        </w:r>
        <w:r>
          <w:rPr>
            <w:noProof/>
            <w:sz w:val="20"/>
          </w:rPr>
          <w:t>2</w:t>
        </w:r>
        <w:r w:rsidRPr="003D49D3">
          <w:rPr>
            <w:noProof/>
            <w:sz w:val="20"/>
          </w:rPr>
          <w:fldChar w:fldCharType="end"/>
        </w:r>
      </w:p>
    </w:sdtContent>
  </w:sdt>
  <w:p w14:paraId="3319E8D8" w14:textId="77777777" w:rsidR="003D49D3" w:rsidRDefault="003D4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9F3F" w14:textId="77777777" w:rsidR="003D49D3" w:rsidRPr="003D49D3" w:rsidRDefault="003D49D3" w:rsidP="00C10F88">
    <w:pPr>
      <w:pStyle w:val="Footer"/>
      <w:rPr>
        <w:sz w:val="20"/>
      </w:rPr>
    </w:pPr>
  </w:p>
  <w:p w14:paraId="54C7FC57" w14:textId="77777777" w:rsidR="003D49D3" w:rsidRDefault="003D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2AAC5" w14:textId="77777777" w:rsidR="001E03B5" w:rsidRDefault="001E03B5" w:rsidP="000129B8">
      <w:r>
        <w:separator/>
      </w:r>
    </w:p>
  </w:footnote>
  <w:footnote w:type="continuationSeparator" w:id="0">
    <w:p w14:paraId="1C940308" w14:textId="77777777" w:rsidR="001E03B5" w:rsidRDefault="001E03B5" w:rsidP="000129B8">
      <w:r>
        <w:continuationSeparator/>
      </w:r>
    </w:p>
  </w:footnote>
  <w:footnote w:type="continuationNotice" w:id="1">
    <w:p w14:paraId="775C94DC" w14:textId="77777777" w:rsidR="001E03B5" w:rsidRDefault="001E0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B658" w14:textId="4F139E29" w:rsidR="000129B8" w:rsidRDefault="00CB7DBA">
    <w:pPr>
      <w:pStyle w:val="Header"/>
    </w:pPr>
    <w:r>
      <w:rPr>
        <w:noProof/>
      </w:rPr>
      <w:drawing>
        <wp:anchor distT="0" distB="0" distL="114300" distR="114300" simplePos="0" relativeHeight="251658240" behindDoc="0" locked="0" layoutInCell="1" allowOverlap="1" wp14:anchorId="0D9E4B63" wp14:editId="0E055ED4">
          <wp:simplePos x="0" y="0"/>
          <wp:positionH relativeFrom="page">
            <wp:align>left</wp:align>
          </wp:positionH>
          <wp:positionV relativeFrom="paragraph">
            <wp:posOffset>-441960</wp:posOffset>
          </wp:positionV>
          <wp:extent cx="7589040" cy="126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589040" cy="1264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B4CF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E162D"/>
    <w:multiLevelType w:val="hybridMultilevel"/>
    <w:tmpl w:val="C908F5A8"/>
    <w:lvl w:ilvl="0" w:tplc="89589582">
      <w:numFmt w:val="bullet"/>
      <w:lvlText w:val="-"/>
      <w:lvlJc w:val="left"/>
      <w:pPr>
        <w:ind w:left="720" w:hanging="360"/>
      </w:pPr>
      <w:rPr>
        <w:rFonts w:ascii="Calibri" w:eastAsiaTheme="minorHAnsi" w:hAnsi="Calibri" w:cstheme="minorBidi"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11EA6"/>
    <w:multiLevelType w:val="hybridMultilevel"/>
    <w:tmpl w:val="1FCEA16E"/>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C7D23"/>
    <w:multiLevelType w:val="hybridMultilevel"/>
    <w:tmpl w:val="E6FA9EAE"/>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B223D"/>
    <w:multiLevelType w:val="hybridMultilevel"/>
    <w:tmpl w:val="5F64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C42B7"/>
    <w:multiLevelType w:val="hybridMultilevel"/>
    <w:tmpl w:val="63C4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716F6"/>
    <w:multiLevelType w:val="hybridMultilevel"/>
    <w:tmpl w:val="5E9292E0"/>
    <w:lvl w:ilvl="0" w:tplc="0809000F">
      <w:start w:val="1"/>
      <w:numFmt w:val="decimal"/>
      <w:lvlText w:val="%1."/>
      <w:lvlJc w:val="left"/>
      <w:pPr>
        <w:ind w:left="360" w:hanging="360"/>
      </w:pPr>
    </w:lvl>
    <w:lvl w:ilvl="1" w:tplc="13A4DB02">
      <w:start w:val="1"/>
      <w:numFmt w:val="lowerLetter"/>
      <w:pStyle w:val="BulletPoints"/>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F51F9E"/>
    <w:multiLevelType w:val="hybridMultilevel"/>
    <w:tmpl w:val="6F7C6C7A"/>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643A4"/>
    <w:multiLevelType w:val="hybridMultilevel"/>
    <w:tmpl w:val="7B18CD7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27263B"/>
    <w:multiLevelType w:val="hybridMultilevel"/>
    <w:tmpl w:val="DC567AFA"/>
    <w:lvl w:ilvl="0" w:tplc="FFD6773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41B37"/>
    <w:multiLevelType w:val="hybridMultilevel"/>
    <w:tmpl w:val="9B021E7C"/>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371CA8"/>
    <w:multiLevelType w:val="hybridMultilevel"/>
    <w:tmpl w:val="38544C20"/>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7464F"/>
    <w:multiLevelType w:val="hybridMultilevel"/>
    <w:tmpl w:val="F99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82FC7"/>
    <w:multiLevelType w:val="hybridMultilevel"/>
    <w:tmpl w:val="EEEC8DFC"/>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A19D5"/>
    <w:multiLevelType w:val="hybridMultilevel"/>
    <w:tmpl w:val="696E0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8AD0854"/>
    <w:multiLevelType w:val="hybridMultilevel"/>
    <w:tmpl w:val="4718C4D0"/>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45E62"/>
    <w:multiLevelType w:val="hybridMultilevel"/>
    <w:tmpl w:val="204A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303AF3"/>
    <w:multiLevelType w:val="hybridMultilevel"/>
    <w:tmpl w:val="93D25C24"/>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96806"/>
    <w:multiLevelType w:val="hybridMultilevel"/>
    <w:tmpl w:val="17B864F0"/>
    <w:lvl w:ilvl="0" w:tplc="FFD6773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A44833"/>
    <w:multiLevelType w:val="hybridMultilevel"/>
    <w:tmpl w:val="FEBAA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886D08"/>
    <w:multiLevelType w:val="hybridMultilevel"/>
    <w:tmpl w:val="715C5024"/>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F378E"/>
    <w:multiLevelType w:val="hybridMultilevel"/>
    <w:tmpl w:val="FBA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97A9F"/>
    <w:multiLevelType w:val="hybridMultilevel"/>
    <w:tmpl w:val="133A02C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7A3EFF"/>
    <w:multiLevelType w:val="hybridMultilevel"/>
    <w:tmpl w:val="0BAC498E"/>
    <w:lvl w:ilvl="0" w:tplc="FFD677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
  </w:num>
  <w:num w:numId="4">
    <w:abstractNumId w:val="10"/>
  </w:num>
  <w:num w:numId="5">
    <w:abstractNumId w:val="6"/>
  </w:num>
  <w:num w:numId="6">
    <w:abstractNumId w:val="22"/>
  </w:num>
  <w:num w:numId="7">
    <w:abstractNumId w:val="8"/>
  </w:num>
  <w:num w:numId="8">
    <w:abstractNumId w:val="21"/>
  </w:num>
  <w:num w:numId="9">
    <w:abstractNumId w:val="5"/>
  </w:num>
  <w:num w:numId="10">
    <w:abstractNumId w:val="4"/>
  </w:num>
  <w:num w:numId="11">
    <w:abstractNumId w:val="13"/>
  </w:num>
  <w:num w:numId="12">
    <w:abstractNumId w:val="3"/>
  </w:num>
  <w:num w:numId="13">
    <w:abstractNumId w:val="15"/>
  </w:num>
  <w:num w:numId="14">
    <w:abstractNumId w:val="11"/>
  </w:num>
  <w:num w:numId="15">
    <w:abstractNumId w:val="17"/>
  </w:num>
  <w:num w:numId="16">
    <w:abstractNumId w:val="7"/>
  </w:num>
  <w:num w:numId="17">
    <w:abstractNumId w:val="2"/>
  </w:num>
  <w:num w:numId="18">
    <w:abstractNumId w:val="23"/>
  </w:num>
  <w:num w:numId="19">
    <w:abstractNumId w:val="18"/>
  </w:num>
  <w:num w:numId="20">
    <w:abstractNumId w:val="9"/>
  </w:num>
  <w:num w:numId="21">
    <w:abstractNumId w:val="12"/>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93"/>
    <w:rsid w:val="00010266"/>
    <w:rsid w:val="000129B8"/>
    <w:rsid w:val="0003679A"/>
    <w:rsid w:val="000A4255"/>
    <w:rsid w:val="001166BE"/>
    <w:rsid w:val="00124299"/>
    <w:rsid w:val="00126DD4"/>
    <w:rsid w:val="00144DE6"/>
    <w:rsid w:val="001840BF"/>
    <w:rsid w:val="001A57D1"/>
    <w:rsid w:val="001C1680"/>
    <w:rsid w:val="001E03B5"/>
    <w:rsid w:val="00250535"/>
    <w:rsid w:val="002937AD"/>
    <w:rsid w:val="002F35FE"/>
    <w:rsid w:val="00304384"/>
    <w:rsid w:val="00394893"/>
    <w:rsid w:val="003A6A95"/>
    <w:rsid w:val="003D49D3"/>
    <w:rsid w:val="004030C8"/>
    <w:rsid w:val="004207B7"/>
    <w:rsid w:val="00472987"/>
    <w:rsid w:val="004C6692"/>
    <w:rsid w:val="0056510F"/>
    <w:rsid w:val="00574C25"/>
    <w:rsid w:val="00583351"/>
    <w:rsid w:val="00613DFB"/>
    <w:rsid w:val="00616B16"/>
    <w:rsid w:val="006431E9"/>
    <w:rsid w:val="006B2809"/>
    <w:rsid w:val="006B4165"/>
    <w:rsid w:val="0071583C"/>
    <w:rsid w:val="00725B0B"/>
    <w:rsid w:val="007261C6"/>
    <w:rsid w:val="007367C9"/>
    <w:rsid w:val="00771E74"/>
    <w:rsid w:val="007C2D8F"/>
    <w:rsid w:val="008140F7"/>
    <w:rsid w:val="0084468E"/>
    <w:rsid w:val="008633F2"/>
    <w:rsid w:val="0087431E"/>
    <w:rsid w:val="008B2D58"/>
    <w:rsid w:val="008C7D35"/>
    <w:rsid w:val="00905474"/>
    <w:rsid w:val="00947A29"/>
    <w:rsid w:val="0099408A"/>
    <w:rsid w:val="009B5F6B"/>
    <w:rsid w:val="00A15F88"/>
    <w:rsid w:val="00A26F76"/>
    <w:rsid w:val="00A46C74"/>
    <w:rsid w:val="00A4753D"/>
    <w:rsid w:val="00A86731"/>
    <w:rsid w:val="00A94912"/>
    <w:rsid w:val="00B1738F"/>
    <w:rsid w:val="00B36A80"/>
    <w:rsid w:val="00B47F58"/>
    <w:rsid w:val="00B8247E"/>
    <w:rsid w:val="00BA331C"/>
    <w:rsid w:val="00BB69DB"/>
    <w:rsid w:val="00BF7C8C"/>
    <w:rsid w:val="00C10F88"/>
    <w:rsid w:val="00C86A65"/>
    <w:rsid w:val="00C9120B"/>
    <w:rsid w:val="00CB02F7"/>
    <w:rsid w:val="00CB7DBA"/>
    <w:rsid w:val="00CC7302"/>
    <w:rsid w:val="00CF159A"/>
    <w:rsid w:val="00D36148"/>
    <w:rsid w:val="00D62FB8"/>
    <w:rsid w:val="00D81FC5"/>
    <w:rsid w:val="00DC5ED9"/>
    <w:rsid w:val="00DF3773"/>
    <w:rsid w:val="00DF491D"/>
    <w:rsid w:val="00DF5ABD"/>
    <w:rsid w:val="00E01733"/>
    <w:rsid w:val="00E171A9"/>
    <w:rsid w:val="00E26200"/>
    <w:rsid w:val="00E40784"/>
    <w:rsid w:val="00E5386D"/>
    <w:rsid w:val="00E916A9"/>
    <w:rsid w:val="00E944DD"/>
    <w:rsid w:val="00EA0927"/>
    <w:rsid w:val="00EA2CA1"/>
    <w:rsid w:val="00F46C42"/>
    <w:rsid w:val="00F91A8F"/>
    <w:rsid w:val="00FB4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75B93"/>
  <w15:docId w15:val="{CA508939-7FAB-47DD-B075-D8941A56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1C"/>
    <w:pPr>
      <w:spacing w:line="240" w:lineRule="auto"/>
    </w:pPr>
    <w:rPr>
      <w:color w:val="262626" w:themeColor="text1" w:themeTint="D9"/>
      <w:szCs w:val="20"/>
    </w:rPr>
  </w:style>
  <w:style w:type="paragraph" w:styleId="Heading1">
    <w:name w:val="heading 1"/>
    <w:basedOn w:val="Normal"/>
    <w:next w:val="Normal"/>
    <w:link w:val="Heading1Char"/>
    <w:uiPriority w:val="9"/>
    <w:qFormat/>
    <w:rsid w:val="00B47F58"/>
    <w:pPr>
      <w:keepNext/>
      <w:keepLines/>
      <w:spacing w:after="320"/>
      <w:contextualSpacing/>
      <w:outlineLvl w:val="0"/>
    </w:pPr>
    <w:rPr>
      <w:rFonts w:eastAsiaTheme="majorEastAsia" w:cstheme="majorBidi"/>
      <w:b/>
      <w:color w:val="35647E"/>
      <w:sz w:val="32"/>
      <w:szCs w:val="32"/>
    </w:rPr>
  </w:style>
  <w:style w:type="paragraph" w:styleId="Heading2">
    <w:name w:val="heading 2"/>
    <w:basedOn w:val="Normal"/>
    <w:next w:val="Normal"/>
    <w:link w:val="Heading2Char"/>
    <w:autoRedefine/>
    <w:uiPriority w:val="9"/>
    <w:unhideWhenUsed/>
    <w:qFormat/>
    <w:rsid w:val="00B47F58"/>
    <w:pPr>
      <w:keepNext/>
      <w:keepLines/>
      <w:spacing w:after="120"/>
      <w:contextualSpacing/>
      <w:outlineLvl w:val="1"/>
    </w:pPr>
    <w:rPr>
      <w:rFonts w:eastAsiaTheme="majorEastAsia" w:cstheme="majorBidi"/>
      <w:b/>
      <w:bCs/>
      <w:color w:val="009ABF"/>
      <w:sz w:val="26"/>
      <w:szCs w:val="26"/>
    </w:rPr>
  </w:style>
  <w:style w:type="paragraph" w:styleId="Heading3">
    <w:name w:val="heading 3"/>
    <w:basedOn w:val="Normal"/>
    <w:next w:val="Normal"/>
    <w:link w:val="Heading3Char"/>
    <w:uiPriority w:val="9"/>
    <w:semiHidden/>
    <w:unhideWhenUsed/>
    <w:qFormat/>
    <w:rsid w:val="0003679A"/>
    <w:pPr>
      <w:keepNext/>
      <w:keepLines/>
      <w:spacing w:before="40"/>
      <w:outlineLvl w:val="2"/>
    </w:pPr>
    <w:rPr>
      <w:rFonts w:eastAsiaTheme="majorEastAsia" w:cstheme="majorBidi"/>
      <w:b/>
      <w:color w:val="009A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autoRedefine/>
    <w:qFormat/>
    <w:rsid w:val="001C1680"/>
    <w:pPr>
      <w:numPr>
        <w:ilvl w:val="1"/>
        <w:numId w:val="5"/>
      </w:numPr>
      <w:suppressAutoHyphens/>
      <w:spacing w:after="240"/>
      <w:contextualSpacing/>
    </w:pPr>
    <w:rPr>
      <w:szCs w:val="24"/>
      <w:lang w:val="en-US"/>
    </w:rPr>
  </w:style>
  <w:style w:type="paragraph" w:styleId="Header">
    <w:name w:val="header"/>
    <w:basedOn w:val="Normal"/>
    <w:link w:val="HeaderChar"/>
    <w:uiPriority w:val="99"/>
    <w:unhideWhenUsed/>
    <w:rsid w:val="000129B8"/>
    <w:pPr>
      <w:tabs>
        <w:tab w:val="center" w:pos="4513"/>
        <w:tab w:val="right" w:pos="9026"/>
      </w:tabs>
    </w:pPr>
  </w:style>
  <w:style w:type="character" w:customStyle="1" w:styleId="HeaderChar">
    <w:name w:val="Header Char"/>
    <w:basedOn w:val="DefaultParagraphFont"/>
    <w:link w:val="Header"/>
    <w:uiPriority w:val="99"/>
    <w:rsid w:val="000129B8"/>
    <w:rPr>
      <w:rFonts w:ascii="Arial" w:hAnsi="Arial"/>
      <w:szCs w:val="20"/>
    </w:rPr>
  </w:style>
  <w:style w:type="paragraph" w:styleId="Footer">
    <w:name w:val="footer"/>
    <w:basedOn w:val="Normal"/>
    <w:link w:val="FooterChar"/>
    <w:uiPriority w:val="99"/>
    <w:unhideWhenUsed/>
    <w:rsid w:val="000129B8"/>
    <w:pPr>
      <w:tabs>
        <w:tab w:val="center" w:pos="4513"/>
        <w:tab w:val="right" w:pos="9026"/>
      </w:tabs>
    </w:pPr>
  </w:style>
  <w:style w:type="character" w:customStyle="1" w:styleId="FooterChar">
    <w:name w:val="Footer Char"/>
    <w:basedOn w:val="DefaultParagraphFont"/>
    <w:link w:val="Footer"/>
    <w:uiPriority w:val="99"/>
    <w:rsid w:val="000129B8"/>
    <w:rPr>
      <w:rFonts w:ascii="Arial" w:hAnsi="Arial"/>
      <w:szCs w:val="20"/>
    </w:rPr>
  </w:style>
  <w:style w:type="paragraph" w:styleId="BalloonText">
    <w:name w:val="Balloon Text"/>
    <w:basedOn w:val="Normal"/>
    <w:link w:val="BalloonTextChar"/>
    <w:uiPriority w:val="99"/>
    <w:semiHidden/>
    <w:unhideWhenUsed/>
    <w:rsid w:val="000129B8"/>
    <w:rPr>
      <w:rFonts w:ascii="Tahoma" w:hAnsi="Tahoma" w:cs="Tahoma"/>
      <w:sz w:val="16"/>
      <w:szCs w:val="16"/>
    </w:rPr>
  </w:style>
  <w:style w:type="character" w:customStyle="1" w:styleId="BalloonTextChar">
    <w:name w:val="Balloon Text Char"/>
    <w:basedOn w:val="DefaultParagraphFont"/>
    <w:link w:val="BalloonText"/>
    <w:uiPriority w:val="99"/>
    <w:semiHidden/>
    <w:rsid w:val="000129B8"/>
    <w:rPr>
      <w:rFonts w:ascii="Tahoma" w:hAnsi="Tahoma" w:cs="Tahoma"/>
      <w:sz w:val="16"/>
      <w:szCs w:val="16"/>
    </w:rPr>
  </w:style>
  <w:style w:type="paragraph" w:styleId="ListParagraph">
    <w:name w:val="List Paragraph"/>
    <w:basedOn w:val="Normal"/>
    <w:uiPriority w:val="34"/>
    <w:qFormat/>
    <w:rsid w:val="007261C6"/>
    <w:pPr>
      <w:spacing w:after="200" w:line="276" w:lineRule="auto"/>
      <w:ind w:left="720"/>
      <w:contextualSpacing/>
    </w:pPr>
    <w:rPr>
      <w:szCs w:val="22"/>
    </w:rPr>
  </w:style>
  <w:style w:type="character" w:customStyle="1" w:styleId="Heading1Char">
    <w:name w:val="Heading 1 Char"/>
    <w:basedOn w:val="DefaultParagraphFont"/>
    <w:link w:val="Heading1"/>
    <w:uiPriority w:val="9"/>
    <w:rsid w:val="00B47F58"/>
    <w:rPr>
      <w:rFonts w:eastAsiaTheme="majorEastAsia" w:cstheme="majorBidi"/>
      <w:b/>
      <w:color w:val="35647E"/>
      <w:sz w:val="32"/>
      <w:szCs w:val="32"/>
    </w:rPr>
  </w:style>
  <w:style w:type="paragraph" w:styleId="Title">
    <w:name w:val="Title"/>
    <w:basedOn w:val="Normal"/>
    <w:next w:val="Normal"/>
    <w:link w:val="TitleChar"/>
    <w:autoRedefine/>
    <w:uiPriority w:val="10"/>
    <w:qFormat/>
    <w:rsid w:val="00394893"/>
    <w:pPr>
      <w:contextualSpacing/>
    </w:pPr>
    <w:rPr>
      <w:rFonts w:ascii="Museo Sans 700" w:eastAsiaTheme="majorEastAsia" w:hAnsi="Museo Sans 700" w:cstheme="majorBidi"/>
      <w:b/>
      <w:color w:val="00263A"/>
      <w:spacing w:val="-10"/>
      <w:kern w:val="28"/>
      <w:sz w:val="40"/>
      <w:szCs w:val="40"/>
    </w:rPr>
  </w:style>
  <w:style w:type="character" w:customStyle="1" w:styleId="TitleChar">
    <w:name w:val="Title Char"/>
    <w:basedOn w:val="DefaultParagraphFont"/>
    <w:link w:val="Title"/>
    <w:uiPriority w:val="10"/>
    <w:rsid w:val="00394893"/>
    <w:rPr>
      <w:rFonts w:ascii="Museo Sans 700" w:eastAsiaTheme="majorEastAsia" w:hAnsi="Museo Sans 700" w:cstheme="majorBidi"/>
      <w:b/>
      <w:color w:val="00263A"/>
      <w:spacing w:val="-10"/>
      <w:kern w:val="28"/>
      <w:sz w:val="40"/>
      <w:szCs w:val="40"/>
    </w:rPr>
  </w:style>
  <w:style w:type="character" w:customStyle="1" w:styleId="Heading2Char">
    <w:name w:val="Heading 2 Char"/>
    <w:basedOn w:val="DefaultParagraphFont"/>
    <w:link w:val="Heading2"/>
    <w:uiPriority w:val="9"/>
    <w:rsid w:val="00B47F58"/>
    <w:rPr>
      <w:rFonts w:eastAsiaTheme="majorEastAsia" w:cstheme="majorBidi"/>
      <w:b/>
      <w:bCs/>
      <w:color w:val="009ABF"/>
      <w:sz w:val="26"/>
      <w:szCs w:val="26"/>
    </w:rPr>
  </w:style>
  <w:style w:type="character" w:customStyle="1" w:styleId="apple-converted-space">
    <w:name w:val="apple-converted-space"/>
    <w:basedOn w:val="DefaultParagraphFont"/>
    <w:rsid w:val="00B47F58"/>
  </w:style>
  <w:style w:type="character" w:customStyle="1" w:styleId="Heading3Char">
    <w:name w:val="Heading 3 Char"/>
    <w:basedOn w:val="DefaultParagraphFont"/>
    <w:link w:val="Heading3"/>
    <w:uiPriority w:val="9"/>
    <w:semiHidden/>
    <w:rsid w:val="0003679A"/>
    <w:rPr>
      <w:rFonts w:eastAsiaTheme="majorEastAsia" w:cstheme="majorBidi"/>
      <w:b/>
      <w:color w:val="009ABF"/>
      <w:szCs w:val="24"/>
    </w:rPr>
  </w:style>
  <w:style w:type="character" w:styleId="Hyperlink">
    <w:name w:val="Hyperlink"/>
    <w:basedOn w:val="DefaultParagraphFont"/>
    <w:uiPriority w:val="99"/>
    <w:unhideWhenUsed/>
    <w:rsid w:val="00BF7C8C"/>
    <w:rPr>
      <w:color w:val="0000FF" w:themeColor="hyperlink"/>
      <w:u w:val="single"/>
    </w:rPr>
  </w:style>
  <w:style w:type="paragraph" w:styleId="NormalWeb">
    <w:name w:val="Normal (Web)"/>
    <w:basedOn w:val="Normal"/>
    <w:uiPriority w:val="99"/>
    <w:semiHidden/>
    <w:unhideWhenUsed/>
    <w:rsid w:val="004C6692"/>
    <w:pPr>
      <w:spacing w:before="100" w:beforeAutospacing="1" w:after="100" w:afterAutospacing="1"/>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1123">
      <w:bodyDiv w:val="1"/>
      <w:marLeft w:val="0"/>
      <w:marRight w:val="0"/>
      <w:marTop w:val="0"/>
      <w:marBottom w:val="0"/>
      <w:divBdr>
        <w:top w:val="none" w:sz="0" w:space="0" w:color="auto"/>
        <w:left w:val="none" w:sz="0" w:space="0" w:color="auto"/>
        <w:bottom w:val="none" w:sz="0" w:space="0" w:color="auto"/>
        <w:right w:val="none" w:sz="0" w:space="0" w:color="auto"/>
      </w:divBdr>
    </w:div>
    <w:div w:id="16241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lassfocus@britglas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g\Downloads\Glass%20Focus%202020%20gen%20doc.dotx" TargetMode="External"/></Relationships>
</file>

<file path=word/theme/theme1.xml><?xml version="1.0" encoding="utf-8"?>
<a:theme xmlns:a="http://schemas.openxmlformats.org/drawingml/2006/main" name="Office Theme">
  <a:themeElements>
    <a:clrScheme name="BG Brand">
      <a:dk1>
        <a:sysClr val="windowText" lastClr="000000"/>
      </a:dk1>
      <a:lt1>
        <a:sysClr val="window" lastClr="FFFFFF"/>
      </a:lt1>
      <a:dk2>
        <a:srgbClr val="1F497D"/>
      </a:dk2>
      <a:lt2>
        <a:srgbClr val="EEECE1"/>
      </a:lt2>
      <a:accent1>
        <a:srgbClr val="35647E"/>
      </a:accent1>
      <a:accent2>
        <a:srgbClr val="009ABF"/>
      </a:accent2>
      <a:accent3>
        <a:srgbClr val="ADD6DF"/>
      </a:accent3>
      <a:accent4>
        <a:srgbClr val="A1C184"/>
      </a:accent4>
      <a:accent5>
        <a:srgbClr val="43695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BB0059BCBD24489A42FE6CE374152" ma:contentTypeVersion="13" ma:contentTypeDescription="Create a new document." ma:contentTypeScope="" ma:versionID="c2fd01daa45e4ef6957a4301919482c2">
  <xsd:schema xmlns:xsd="http://www.w3.org/2001/XMLSchema" xmlns:xs="http://www.w3.org/2001/XMLSchema" xmlns:p="http://schemas.microsoft.com/office/2006/metadata/properties" xmlns:ns2="316802ec-c790-4a9c-961d-504a2767aa7a" xmlns:ns3="3dfb5221-85d2-4065-982e-00ad26683589" targetNamespace="http://schemas.microsoft.com/office/2006/metadata/properties" ma:root="true" ma:fieldsID="ce5797181ae6df6d18a30a1d7e7fe492" ns2:_="" ns3:_="">
    <xsd:import namespace="316802ec-c790-4a9c-961d-504a2767aa7a"/>
    <xsd:import namespace="3dfb5221-85d2-4065-982e-00ad26683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02ec-c790-4a9c-961d-504a2767a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b5221-85d2-4065-982e-00ad266835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E1BA0-6347-46BF-8100-74E622119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7AE2A6-AE10-4A43-9241-B5760000079F}">
  <ds:schemaRefs>
    <ds:schemaRef ds:uri="http://schemas.microsoft.com/sharepoint/v3/contenttype/forms"/>
  </ds:schemaRefs>
</ds:datastoreItem>
</file>

<file path=customXml/itemProps3.xml><?xml version="1.0" encoding="utf-8"?>
<ds:datastoreItem xmlns:ds="http://schemas.openxmlformats.org/officeDocument/2006/customXml" ds:itemID="{3106C530-FE2F-4BFB-8CE5-F112AF023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02ec-c790-4a9c-961d-504a2767aa7a"/>
    <ds:schemaRef ds:uri="3dfb5221-85d2-4065-982e-00ad2668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Glass Focus 2020 gen doc</Template>
  <TotalTime>1</TotalTime>
  <Pages>5</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Grattidge</dc:creator>
  <cp:lastModifiedBy>Meg Grattidge</cp:lastModifiedBy>
  <cp:revision>5</cp:revision>
  <cp:lastPrinted>2020-06-23T11:38:00Z</cp:lastPrinted>
  <dcterms:created xsi:type="dcterms:W3CDTF">2021-06-30T13:36:00Z</dcterms:created>
  <dcterms:modified xsi:type="dcterms:W3CDTF">2021-07-01T09:35:00Z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0x010100FE1BB0059BCBD24489A42FE6CE374152</vt:lpwstr>
  </property>
</Properties>
</file>